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val="0"/>
        <w:kinsoku/>
        <w:overflowPunct/>
        <w:autoSpaceDE/>
        <w:autoSpaceDN/>
        <w:bidi w:val="0"/>
        <w:spacing w:line="576"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武汉市自然资源和规划局硚口分局</w:t>
      </w:r>
    </w:p>
    <w:p>
      <w:pPr>
        <w:pStyle w:val="4"/>
        <w:keepLines w:val="0"/>
        <w:pageBreakBefore w:val="0"/>
        <w:widowControl w:val="0"/>
        <w:kinsoku/>
        <w:overflowPunct/>
        <w:autoSpaceDE/>
        <w:autoSpaceDN/>
        <w:bidi w:val="0"/>
        <w:spacing w:line="57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000000"/>
          <w:sz w:val="44"/>
          <w:szCs w:val="44"/>
        </w:rPr>
        <w:t>20</w:t>
      </w:r>
      <w:r>
        <w:rPr>
          <w:rFonts w:hint="eastAsia" w:ascii="方正小标宋_GBK" w:hAnsi="方正小标宋_GBK" w:eastAsia="方正小标宋_GBK" w:cs="方正小标宋_GBK"/>
          <w:b w:val="0"/>
          <w:bCs/>
          <w:color w:val="000000"/>
          <w:sz w:val="44"/>
          <w:szCs w:val="44"/>
        </w:rPr>
        <w:t>23年</w:t>
      </w:r>
      <w:r>
        <w:rPr>
          <w:rFonts w:hint="eastAsia" w:ascii="方正小标宋_GBK" w:hAnsi="方正小标宋_GBK" w:eastAsia="方正小标宋_GBK" w:cs="方正小标宋_GBK"/>
          <w:b w:val="0"/>
          <w:bCs/>
          <w:sz w:val="44"/>
          <w:szCs w:val="44"/>
        </w:rPr>
        <w:t>政府信息公开工作年度报告</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仿宋_GB2312"/>
          <w:kern w:val="0"/>
          <w:sz w:val="32"/>
          <w:szCs w:val="32"/>
          <w:lang w:bidi="ar"/>
        </w:rPr>
      </w:pP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依据《中华人民共和国政府信息公开条例》（以下简称《政府信息公开条例》）第五十条和《关于印发中华人民共和国政府信息公开工作年度报告格式的通知》（国办公开办函</w:t>
      </w:r>
      <w:r>
        <w:rPr>
          <w:rFonts w:hint="default" w:ascii="Times New Roman" w:hAnsi="Times New Roman" w:eastAsia="仿宋_GB2312" w:cs="Times New Roman"/>
          <w:w w:val="95"/>
          <w:kern w:val="0"/>
          <w:sz w:val="32"/>
          <w:szCs w:val="32"/>
          <w:lang w:bidi="ar"/>
        </w:rPr>
        <w:t>〔2021〕</w:t>
      </w:r>
      <w:r>
        <w:rPr>
          <w:rFonts w:hint="eastAsia" w:ascii="Times New Roman" w:hAnsi="Times New Roman" w:eastAsia="仿宋_GB2312" w:cs="Times New Roman"/>
          <w:w w:val="95"/>
          <w:kern w:val="0"/>
          <w:sz w:val="32"/>
          <w:szCs w:val="32"/>
          <w:lang w:val="en-US" w:eastAsia="zh-CN" w:bidi="ar"/>
        </w:rPr>
        <w:t>30</w:t>
      </w:r>
      <w:r>
        <w:rPr>
          <w:rFonts w:hint="default" w:ascii="Times New Roman" w:hAnsi="Times New Roman" w:eastAsia="仿宋_GB2312" w:cs="Times New Roman"/>
          <w:kern w:val="0"/>
          <w:sz w:val="32"/>
          <w:szCs w:val="32"/>
          <w:lang w:bidi="ar"/>
        </w:rPr>
        <w:t>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本报告有疑问，请联系：武汉市自然资源和规划局硚口分局，地址：硚口区沿河大道348号，电话：027-83888641。</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color w:val="333333"/>
          <w:sz w:val="32"/>
          <w:szCs w:val="32"/>
        </w:rPr>
        <w:t>一、总体情况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20</w:t>
      </w:r>
      <w:r>
        <w:rPr>
          <w:rFonts w:hint="eastAsia" w:ascii="Times New Roman" w:hAnsi="Times New Roman" w:eastAsia="仿宋_GB2312" w:cs="Times New Roman"/>
          <w:kern w:val="0"/>
          <w:sz w:val="32"/>
          <w:szCs w:val="32"/>
          <w:lang w:bidi="ar"/>
        </w:rPr>
        <w:t>2</w:t>
      </w: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Times New Roman"/>
          <w:kern w:val="0"/>
          <w:sz w:val="32"/>
          <w:szCs w:val="32"/>
          <w:lang w:bidi="ar"/>
        </w:rPr>
        <w:t>年，分局认真贯彻实施《中华人民共和国政府信息公开条例》和《武汉市自然资源和规划局政府信息公开实施办法》，按照市局和区政府办的部署要求，紧密结合实际，积极做好政务信息公开工作，主要情况如下：</w:t>
      </w:r>
    </w:p>
    <w:p>
      <w:pPr>
        <w:keepLines w:val="0"/>
        <w:pageBreakBefore w:val="0"/>
        <w:widowControl w:val="0"/>
        <w:kinsoku/>
        <w:overflowPunct/>
        <w:autoSpaceDE/>
        <w:autoSpaceDN/>
        <w:bidi w:val="0"/>
        <w:spacing w:line="576" w:lineRule="exact"/>
        <w:ind w:firstLine="640" w:firstLineChars="200"/>
        <w:jc w:val="both"/>
        <w:textAlignment w:val="auto"/>
        <w:rPr>
          <w:rFonts w:ascii="仿宋" w:hAnsi="仿宋" w:eastAsia="仿宋" w:cs="仿宋"/>
          <w:color w:val="000000"/>
          <w:sz w:val="28"/>
          <w:szCs w:val="28"/>
        </w:rPr>
      </w:pPr>
      <w:r>
        <w:rPr>
          <w:rFonts w:hint="eastAsia" w:ascii="楷体" w:hAnsi="楷体" w:eastAsia="楷体" w:cs="仿宋"/>
          <w:color w:val="000000"/>
          <w:kern w:val="0"/>
          <w:sz w:val="32"/>
          <w:szCs w:val="32"/>
        </w:rPr>
        <w:t>（一）主动公开政府信息的情况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1.网站信息公开情况</w:t>
      </w:r>
      <w:bookmarkStart w:id="0" w:name="_GoBack"/>
      <w:bookmarkEnd w:id="0"/>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20</w:t>
      </w:r>
      <w:r>
        <w:rPr>
          <w:rFonts w:hint="eastAsia" w:ascii="Times New Roman" w:hAnsi="Times New Roman" w:eastAsia="仿宋_GB2312" w:cs="Times New Roman"/>
          <w:kern w:val="0"/>
          <w:sz w:val="32"/>
          <w:szCs w:val="32"/>
          <w:lang w:bidi="ar"/>
        </w:rPr>
        <w:t>2</w:t>
      </w: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Times New Roman"/>
          <w:kern w:val="0"/>
          <w:sz w:val="32"/>
          <w:szCs w:val="32"/>
          <w:lang w:bidi="ar"/>
        </w:rPr>
        <w:t>年度分局网站共发布各类信息12</w:t>
      </w:r>
      <w:r>
        <w:rPr>
          <w:rFonts w:hint="default" w:ascii="Times New Roman" w:hAnsi="Times New Roman" w:eastAsia="仿宋_GB2312" w:cs="Times New Roman"/>
          <w:kern w:val="0"/>
          <w:sz w:val="32"/>
          <w:szCs w:val="32"/>
          <w:lang w:bidi="ar"/>
        </w:rPr>
        <w:t>7</w:t>
      </w:r>
      <w:r>
        <w:rPr>
          <w:rFonts w:hint="eastAsia" w:ascii="Times New Roman" w:hAnsi="Times New Roman" w:eastAsia="仿宋_GB2312" w:cs="Times New Roman"/>
          <w:kern w:val="0"/>
          <w:sz w:val="32"/>
          <w:szCs w:val="32"/>
          <w:lang w:bidi="ar"/>
        </w:rPr>
        <w:t>条，包括：分局新闻动态5</w:t>
      </w: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Times New Roman"/>
          <w:kern w:val="0"/>
          <w:sz w:val="32"/>
          <w:szCs w:val="32"/>
          <w:lang w:bidi="ar"/>
        </w:rPr>
        <w:t>条，执法监察基本信息</w:t>
      </w:r>
      <w:r>
        <w:rPr>
          <w:rFonts w:hint="default" w:ascii="Times New Roman" w:hAnsi="Times New Roman" w:eastAsia="仿宋_GB2312" w:cs="Times New Roman"/>
          <w:kern w:val="0"/>
          <w:sz w:val="32"/>
          <w:szCs w:val="32"/>
          <w:lang w:bidi="ar"/>
        </w:rPr>
        <w:t>0</w:t>
      </w:r>
      <w:r>
        <w:rPr>
          <w:rFonts w:hint="eastAsia" w:ascii="Times New Roman" w:hAnsi="Times New Roman" w:eastAsia="仿宋_GB2312" w:cs="Times New Roman"/>
          <w:kern w:val="0"/>
          <w:sz w:val="32"/>
          <w:szCs w:val="32"/>
          <w:lang w:bidi="ar"/>
        </w:rPr>
        <w:t>条；链接市局业务审批系统汇总的分局业务审批进展情况数据共公开7</w:t>
      </w:r>
      <w:r>
        <w:rPr>
          <w:rFonts w:hint="default" w:ascii="Times New Roman" w:hAnsi="Times New Roman" w:eastAsia="仿宋_GB2312" w:cs="Times New Roman"/>
          <w:kern w:val="0"/>
          <w:sz w:val="32"/>
          <w:szCs w:val="32"/>
          <w:lang w:bidi="ar"/>
        </w:rPr>
        <w:t>4</w:t>
      </w:r>
      <w:r>
        <w:rPr>
          <w:rFonts w:hint="eastAsia" w:ascii="Times New Roman" w:hAnsi="Times New Roman" w:eastAsia="仿宋_GB2312" w:cs="Times New Roman"/>
          <w:kern w:val="0"/>
          <w:sz w:val="32"/>
          <w:szCs w:val="32"/>
          <w:lang w:bidi="ar"/>
        </w:rPr>
        <w:t>条，其中选址意见书1</w:t>
      </w:r>
      <w:r>
        <w:rPr>
          <w:rFonts w:hint="default" w:ascii="Times New Roman" w:hAnsi="Times New Roman" w:eastAsia="仿宋_GB2312" w:cs="Times New Roman"/>
          <w:kern w:val="0"/>
          <w:sz w:val="32"/>
          <w:szCs w:val="32"/>
          <w:lang w:bidi="ar"/>
        </w:rPr>
        <w:t>6</w:t>
      </w:r>
      <w:r>
        <w:rPr>
          <w:rFonts w:hint="eastAsia" w:ascii="Times New Roman" w:hAnsi="Times New Roman" w:eastAsia="仿宋_GB2312" w:cs="Times New Roman"/>
          <w:kern w:val="0"/>
          <w:sz w:val="32"/>
          <w:szCs w:val="32"/>
          <w:lang w:bidi="ar"/>
        </w:rPr>
        <w:t>条，用地规划许可证</w:t>
      </w:r>
      <w:r>
        <w:rPr>
          <w:rFonts w:hint="default" w:ascii="Times New Roman" w:hAnsi="Times New Roman" w:eastAsia="仿宋_GB2312" w:cs="Times New Roman"/>
          <w:kern w:val="0"/>
          <w:sz w:val="32"/>
          <w:szCs w:val="32"/>
          <w:lang w:bidi="ar"/>
        </w:rPr>
        <w:t>8</w:t>
      </w:r>
      <w:r>
        <w:rPr>
          <w:rFonts w:hint="eastAsia" w:ascii="Times New Roman" w:hAnsi="Times New Roman" w:eastAsia="仿宋_GB2312" w:cs="Times New Roman"/>
          <w:kern w:val="0"/>
          <w:sz w:val="32"/>
          <w:szCs w:val="32"/>
          <w:lang w:bidi="ar"/>
        </w:rPr>
        <w:t>条，建设工程规划许可证1</w:t>
      </w:r>
      <w:r>
        <w:rPr>
          <w:rFonts w:hint="default" w:ascii="Times New Roman" w:hAnsi="Times New Roman" w:eastAsia="仿宋_GB2312" w:cs="Times New Roman"/>
          <w:kern w:val="0"/>
          <w:sz w:val="32"/>
          <w:szCs w:val="32"/>
          <w:lang w:bidi="ar"/>
        </w:rPr>
        <w:t>8</w:t>
      </w:r>
      <w:r>
        <w:rPr>
          <w:rFonts w:hint="eastAsia" w:ascii="Times New Roman" w:hAnsi="Times New Roman" w:eastAsia="仿宋_GB2312" w:cs="Times New Roman"/>
          <w:kern w:val="0"/>
          <w:sz w:val="32"/>
          <w:szCs w:val="32"/>
          <w:lang w:bidi="ar"/>
        </w:rPr>
        <w:t>条，建设工程规划验收合格证18条，规划项目批前公示1</w:t>
      </w:r>
      <w:r>
        <w:rPr>
          <w:rFonts w:hint="default" w:ascii="Times New Roman" w:hAnsi="Times New Roman" w:eastAsia="仿宋_GB2312" w:cs="Times New Roman"/>
          <w:kern w:val="0"/>
          <w:sz w:val="32"/>
          <w:szCs w:val="32"/>
          <w:lang w:bidi="ar"/>
        </w:rPr>
        <w:t>4</w:t>
      </w:r>
      <w:r>
        <w:rPr>
          <w:rFonts w:hint="eastAsia" w:ascii="Times New Roman" w:hAnsi="Times New Roman" w:eastAsia="仿宋_GB2312" w:cs="Times New Roman"/>
          <w:kern w:val="0"/>
          <w:sz w:val="32"/>
          <w:szCs w:val="32"/>
          <w:lang w:bidi="ar"/>
        </w:rPr>
        <w:t>条。</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2.其它方式的政府信息公开情况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分局除了以政务网站进行政务公开外，还利用新闻媒体发布、触摸屏、电子大屏幕、和现场公示等多种方式同时开展了政府信息公开工作。区政务服务中心窗口，通过在政务大厅设置的大屏幕及时公示审批结果、收费事项、等信息，将分局各项审批项目编制办事指南，方便办事单位及群众。</w:t>
      </w:r>
    </w:p>
    <w:p>
      <w:pPr>
        <w:keepLines w:val="0"/>
        <w:pageBreakBefore w:val="0"/>
        <w:widowControl w:val="0"/>
        <w:kinsoku/>
        <w:overflowPunct/>
        <w:autoSpaceDE/>
        <w:autoSpaceDN/>
        <w:bidi w:val="0"/>
        <w:spacing w:line="576" w:lineRule="exact"/>
        <w:ind w:firstLine="640" w:firstLineChars="200"/>
        <w:jc w:val="both"/>
        <w:textAlignment w:val="auto"/>
        <w:rPr>
          <w:rFonts w:ascii="仿宋" w:hAnsi="仿宋" w:eastAsia="仿宋" w:cs="仿宋"/>
          <w:color w:val="000000"/>
          <w:sz w:val="28"/>
          <w:szCs w:val="28"/>
        </w:rPr>
      </w:pPr>
      <w:r>
        <w:rPr>
          <w:rFonts w:hint="eastAsia" w:ascii="楷体" w:hAnsi="楷体" w:eastAsia="楷体" w:cs="仿宋"/>
          <w:color w:val="000000"/>
          <w:kern w:val="0"/>
          <w:sz w:val="32"/>
          <w:szCs w:val="32"/>
        </w:rPr>
        <w:t>（二）依申请公开政府信息的情况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全年分局收到56个政府信息公开书面申请，53件按要求和时限进行了回复，3件转到2024年办理。</w:t>
      </w:r>
    </w:p>
    <w:p>
      <w:pPr>
        <w:keepLines w:val="0"/>
        <w:pageBreakBefore w:val="0"/>
        <w:widowControl w:val="0"/>
        <w:kinsoku/>
        <w:overflowPunct/>
        <w:autoSpaceDE/>
        <w:autoSpaceDN/>
        <w:bidi w:val="0"/>
        <w:spacing w:line="576" w:lineRule="exact"/>
        <w:ind w:firstLine="640" w:firstLineChars="200"/>
        <w:jc w:val="both"/>
        <w:textAlignment w:val="auto"/>
        <w:rPr>
          <w:rFonts w:ascii="楷体" w:hAnsi="楷体" w:eastAsia="楷体" w:cs="仿宋"/>
          <w:color w:val="000000"/>
          <w:sz w:val="32"/>
          <w:szCs w:val="32"/>
        </w:rPr>
      </w:pPr>
      <w:r>
        <w:rPr>
          <w:rFonts w:hint="eastAsia" w:ascii="楷体" w:hAnsi="楷体" w:eastAsia="楷体" w:cs="仿宋"/>
          <w:color w:val="000000"/>
          <w:kern w:val="0"/>
          <w:sz w:val="32"/>
          <w:szCs w:val="32"/>
        </w:rPr>
        <w:t>（三）扎实推进政府信息公开工作</w:t>
      </w:r>
    </w:p>
    <w:p>
      <w:pPr>
        <w:keepNext/>
        <w:keepLines w:val="0"/>
        <w:pageBreakBefore w:val="0"/>
        <w:widowControl/>
        <w:kinsoku/>
        <w:wordWrap w:val="0"/>
        <w:overflowPunct/>
        <w:topLinePunct/>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分局高度重视政务信息公开工作。全面落实政务信息公开工作要求，完善政务信息公开工作机制，科学划分科室职责。在分局信息化工作领导小组的领导下，成立了由各科室信息员组成的网站更新维护工作专班，下设办公室，具体负责此项工作，确保了信息化建设工作的准确性和时效性，为自然资源和规划政务信息公开工作的顺利开展提供了有力的组织保障。</w:t>
      </w:r>
    </w:p>
    <w:p>
      <w:pPr>
        <w:pStyle w:val="4"/>
        <w:keepLines w:val="0"/>
        <w:pageBreakBefore w:val="0"/>
        <w:widowControl/>
        <w:kinsoku/>
        <w:overflowPunct/>
        <w:autoSpaceDE/>
        <w:autoSpaceDN/>
        <w:bidi w:val="0"/>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（四）政府信息公开平台建设情况</w:t>
      </w:r>
    </w:p>
    <w:p>
      <w:pPr>
        <w:pStyle w:val="4"/>
        <w:keepLines w:val="0"/>
        <w:pageBreakBefore w:val="0"/>
        <w:widowControl/>
        <w:kinsoku/>
        <w:overflowPunct/>
        <w:autoSpaceDE/>
        <w:autoSpaceDN/>
        <w:bidi w:val="0"/>
        <w:spacing w:line="576" w:lineRule="exact"/>
        <w:ind w:firstLine="640" w:firstLineChars="200"/>
        <w:jc w:val="both"/>
        <w:textAlignment w:val="auto"/>
        <w:rPr>
          <w:rFonts w:hint="default"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完成网站升级改版，栏目更优化、检索更便利、信息关联更科学。方便企业、群众监督。</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方正楷体_GBK" w:hAnsi="方正楷体_GBK" w:eastAsia="方正楷体_GBK" w:cs="方正楷体_GBK"/>
          <w:sz w:val="32"/>
          <w:szCs w:val="32"/>
        </w:rPr>
      </w:pPr>
      <w:r>
        <w:rPr>
          <w:rFonts w:hint="eastAsia" w:ascii="楷体" w:hAnsi="楷体" w:eastAsia="楷体" w:cs="楷体"/>
          <w:sz w:val="32"/>
          <w:szCs w:val="32"/>
        </w:rPr>
        <w:t>（五）监督保障情况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一是加强考核监督。严格落实考核制度，每月落实第三方检查网站工作完成情况，点对点督促相关单位完成问题整改，促进工作落实。</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二是我局高度重视政务公开考核工作，把政务公开纳入年度目标工作考核，建立监督评议制度，自觉接受社会各界监督，主动听取群众意见和建议。</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三是2023年度，我局及相关个人未因政务公开被责任追究。</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二、主动公开政府信息情况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2023年武汉市自然资源和规划硚口分局共办理行政许可51项。</w:t>
      </w:r>
    </w:p>
    <w:tbl>
      <w:tblPr>
        <w:tblStyle w:val="5"/>
        <w:tblW w:w="5000" w:type="pct"/>
        <w:jc w:val="center"/>
        <w:tblLayout w:type="autofit"/>
        <w:tblCellMar>
          <w:top w:w="0" w:type="dxa"/>
          <w:left w:w="0" w:type="dxa"/>
          <w:bottom w:w="0" w:type="dxa"/>
          <w:right w:w="0" w:type="dxa"/>
        </w:tblCellMar>
      </w:tblPr>
      <w:tblGrid>
        <w:gridCol w:w="2237"/>
        <w:gridCol w:w="2240"/>
        <w:gridCol w:w="2240"/>
        <w:gridCol w:w="2242"/>
      </w:tblGrid>
      <w:tr>
        <w:tblPrEx>
          <w:tblCellMar>
            <w:top w:w="0" w:type="dxa"/>
            <w:left w:w="0" w:type="dxa"/>
            <w:bottom w:w="0" w:type="dxa"/>
            <w:right w:w="0" w:type="dxa"/>
          </w:tblCellMar>
        </w:tblPrEx>
        <w:trPr>
          <w:trHeight w:val="217"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第二十条第（一）项</w:t>
            </w:r>
          </w:p>
        </w:tc>
      </w:tr>
      <w:tr>
        <w:tblPrEx>
          <w:tblCellMar>
            <w:top w:w="0" w:type="dxa"/>
            <w:left w:w="0" w:type="dxa"/>
            <w:bottom w:w="0" w:type="dxa"/>
            <w:right w:w="0" w:type="dxa"/>
          </w:tblCellMar>
        </w:tblPrEx>
        <w:trPr>
          <w:trHeight w:val="217"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本年</w:t>
            </w:r>
            <w:r>
              <w:rPr>
                <w:rFonts w:hint="default" w:ascii="Times New Roman" w:hAnsi="Times New Roman" w:eastAsia="宋体" w:cs="Times New Roman"/>
                <w:color w:val="333333"/>
                <w:kern w:val="0"/>
                <w:szCs w:val="21"/>
                <w:lang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现行有效件</w:t>
            </w:r>
            <w:r>
              <w:rPr>
                <w:rFonts w:hint="default" w:ascii="Times New Roman" w:hAnsi="Times New Roman" w:eastAsia="宋体" w:cs="Times New Roman"/>
                <w:color w:val="333333"/>
                <w:kern w:val="0"/>
                <w:szCs w:val="21"/>
                <w:lang w:bidi="ar"/>
              </w:rPr>
              <w:t>数</w:t>
            </w:r>
          </w:p>
        </w:tc>
      </w:tr>
      <w:tr>
        <w:tblPrEx>
          <w:tblCellMar>
            <w:top w:w="0" w:type="dxa"/>
            <w:left w:w="0" w:type="dxa"/>
            <w:bottom w:w="0" w:type="dxa"/>
            <w:right w:w="0" w:type="dxa"/>
          </w:tblCellMar>
        </w:tblPrEx>
        <w:trPr>
          <w:trHeight w:val="217"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333333"/>
                <w:szCs w:val="21"/>
                <w:lang w:bidi="ar"/>
              </w:rPr>
              <w:t>0</w:t>
            </w:r>
          </w:p>
        </w:tc>
      </w:tr>
      <w:tr>
        <w:tblPrEx>
          <w:tblCellMar>
            <w:top w:w="0" w:type="dxa"/>
            <w:left w:w="0" w:type="dxa"/>
            <w:bottom w:w="0" w:type="dxa"/>
            <w:right w:w="0" w:type="dxa"/>
          </w:tblCellMar>
        </w:tblPrEx>
        <w:trPr>
          <w:trHeight w:val="217"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333333"/>
                <w:szCs w:val="21"/>
                <w:lang w:bidi="ar"/>
              </w:rPr>
              <w:t>0</w:t>
            </w:r>
          </w:p>
        </w:tc>
      </w:tr>
      <w:tr>
        <w:tblPrEx>
          <w:tblCellMar>
            <w:top w:w="0" w:type="dxa"/>
            <w:left w:w="0" w:type="dxa"/>
            <w:bottom w:w="0" w:type="dxa"/>
            <w:right w:w="0" w:type="dxa"/>
          </w:tblCellMar>
        </w:tblPrEx>
        <w:trPr>
          <w:trHeight w:val="21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第二十条第（五）项</w:t>
            </w:r>
          </w:p>
        </w:tc>
      </w:tr>
      <w:tr>
        <w:tblPrEx>
          <w:tblCellMar>
            <w:top w:w="0" w:type="dxa"/>
            <w:left w:w="0" w:type="dxa"/>
            <w:bottom w:w="0" w:type="dxa"/>
            <w:right w:w="0" w:type="dxa"/>
          </w:tblCellMar>
        </w:tblPrEx>
        <w:trPr>
          <w:trHeight w:val="217" w:hRule="atLeast"/>
          <w:jc w:val="center"/>
        </w:trPr>
        <w:tc>
          <w:tcPr>
            <w:tcW w:w="1249"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本年处理决定数量</w:t>
            </w:r>
          </w:p>
        </w:tc>
      </w:tr>
      <w:tr>
        <w:tblPrEx>
          <w:tblCellMar>
            <w:top w:w="0" w:type="dxa"/>
            <w:left w:w="0" w:type="dxa"/>
            <w:bottom w:w="0" w:type="dxa"/>
            <w:right w:w="0" w:type="dxa"/>
          </w:tblCellMar>
        </w:tblPrEx>
        <w:trPr>
          <w:trHeight w:val="217" w:hRule="atLeast"/>
          <w:jc w:val="center"/>
        </w:trPr>
        <w:tc>
          <w:tcPr>
            <w:tcW w:w="1249"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cs="Times New Roman"/>
                <w:szCs w:val="21"/>
              </w:rPr>
              <w:t>51</w:t>
            </w:r>
          </w:p>
        </w:tc>
      </w:tr>
      <w:tr>
        <w:tblPrEx>
          <w:tblCellMar>
            <w:top w:w="0" w:type="dxa"/>
            <w:left w:w="0" w:type="dxa"/>
            <w:bottom w:w="0" w:type="dxa"/>
            <w:right w:w="0" w:type="dxa"/>
          </w:tblCellMar>
        </w:tblPrEx>
        <w:trPr>
          <w:trHeight w:val="21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第二十条第（六）项</w:t>
            </w:r>
          </w:p>
        </w:tc>
      </w:tr>
      <w:tr>
        <w:tblPrEx>
          <w:tblCellMar>
            <w:top w:w="0" w:type="dxa"/>
            <w:left w:w="0" w:type="dxa"/>
            <w:bottom w:w="0" w:type="dxa"/>
            <w:right w:w="0" w:type="dxa"/>
          </w:tblCellMar>
        </w:tblPrEx>
        <w:trPr>
          <w:trHeight w:val="217"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本年处理决定数量</w:t>
            </w:r>
          </w:p>
        </w:tc>
      </w:tr>
      <w:tr>
        <w:tblPrEx>
          <w:tblCellMar>
            <w:top w:w="0" w:type="dxa"/>
            <w:left w:w="0" w:type="dxa"/>
            <w:bottom w:w="0" w:type="dxa"/>
            <w:right w:w="0" w:type="dxa"/>
          </w:tblCellMar>
        </w:tblPrEx>
        <w:trPr>
          <w:trHeight w:val="217"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0</w:t>
            </w:r>
          </w:p>
        </w:tc>
      </w:tr>
      <w:tr>
        <w:tblPrEx>
          <w:tblCellMar>
            <w:top w:w="0" w:type="dxa"/>
            <w:left w:w="0" w:type="dxa"/>
            <w:bottom w:w="0" w:type="dxa"/>
            <w:right w:w="0" w:type="dxa"/>
          </w:tblCellMar>
        </w:tblPrEx>
        <w:trPr>
          <w:trHeight w:val="217" w:hRule="atLeast"/>
          <w:jc w:val="center"/>
        </w:trPr>
        <w:tc>
          <w:tcPr>
            <w:tcW w:w="1249"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szCs w:val="21"/>
              </w:rPr>
            </w:pPr>
            <w:r>
              <w:rPr>
                <w:rFonts w:hint="eastAsia" w:ascii="宋体" w:hAnsi="宋体" w:eastAsia="宋体" w:cs="宋体"/>
                <w:color w:val="000000"/>
                <w:kern w:val="0"/>
                <w:szCs w:val="21"/>
                <w:lang w:bidi="ar"/>
              </w:rPr>
              <w:t>行政强制</w:t>
            </w:r>
          </w:p>
        </w:tc>
        <w:tc>
          <w:tcPr>
            <w:tcW w:w="3750" w:type="pct"/>
            <w:gridSpan w:val="3"/>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szCs w:val="21"/>
              </w:rPr>
            </w:pPr>
            <w:r>
              <w:rPr>
                <w:rFonts w:hint="default" w:ascii="Times New Roman" w:hAnsi="Times New Roman" w:eastAsia="宋体" w:cs="Times New Roman"/>
                <w:color w:val="000000"/>
                <w:kern w:val="0"/>
                <w:szCs w:val="21"/>
                <w:lang w:bidi="ar"/>
              </w:rPr>
              <w:t>0</w:t>
            </w:r>
          </w:p>
        </w:tc>
      </w:tr>
      <w:tr>
        <w:tblPrEx>
          <w:tblCellMar>
            <w:top w:w="0" w:type="dxa"/>
            <w:left w:w="0" w:type="dxa"/>
            <w:bottom w:w="0" w:type="dxa"/>
            <w:right w:w="0" w:type="dxa"/>
          </w:tblCellMar>
        </w:tblPrEx>
        <w:trPr>
          <w:trHeight w:val="217"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szCs w:val="21"/>
              </w:rPr>
            </w:pPr>
            <w:r>
              <w:rPr>
                <w:rFonts w:hint="eastAsia" w:ascii="宋体" w:hAnsi="宋体" w:eastAsia="宋体" w:cs="宋体"/>
                <w:color w:val="000000"/>
                <w:kern w:val="0"/>
                <w:szCs w:val="21"/>
                <w:lang w:bidi="ar"/>
              </w:rPr>
              <w:t>第二十条第（八）项</w:t>
            </w:r>
          </w:p>
        </w:tc>
      </w:tr>
      <w:tr>
        <w:tblPrEx>
          <w:tblCellMar>
            <w:top w:w="0" w:type="dxa"/>
            <w:left w:w="0" w:type="dxa"/>
            <w:bottom w:w="0" w:type="dxa"/>
            <w:right w:w="0" w:type="dxa"/>
          </w:tblCellMar>
        </w:tblPrEx>
        <w:trPr>
          <w:trHeight w:val="217" w:hRule="atLeast"/>
          <w:jc w:val="center"/>
        </w:trPr>
        <w:tc>
          <w:tcPr>
            <w:tcW w:w="1249"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szCs w:val="21"/>
              </w:rPr>
            </w:pPr>
            <w:r>
              <w:rPr>
                <w:rFonts w:hint="eastAsia" w:ascii="宋体" w:hAnsi="宋体" w:eastAsia="宋体" w:cs="宋体"/>
                <w:color w:val="000000"/>
                <w:kern w:val="0"/>
                <w:szCs w:val="21"/>
                <w:lang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000000"/>
                <w:kern w:val="0"/>
                <w:szCs w:val="21"/>
                <w:lang w:bidi="ar"/>
              </w:rPr>
              <w:t>本年收费金额（单位：万元）</w:t>
            </w:r>
          </w:p>
        </w:tc>
      </w:tr>
      <w:tr>
        <w:tblPrEx>
          <w:tblCellMar>
            <w:top w:w="0" w:type="dxa"/>
            <w:left w:w="0" w:type="dxa"/>
            <w:bottom w:w="0" w:type="dxa"/>
            <w:right w:w="0" w:type="dxa"/>
          </w:tblCellMar>
        </w:tblPrEx>
        <w:trPr>
          <w:trHeight w:val="224" w:hRule="atLeast"/>
          <w:jc w:val="center"/>
        </w:trPr>
        <w:tc>
          <w:tcPr>
            <w:tcW w:w="1249"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both"/>
              <w:textAlignment w:val="auto"/>
              <w:rPr>
                <w:szCs w:val="21"/>
              </w:rPr>
            </w:pPr>
            <w:r>
              <w:rPr>
                <w:rFonts w:hint="eastAsia" w:ascii="宋体" w:hAnsi="宋体" w:eastAsia="宋体" w:cs="宋体"/>
                <w:color w:val="000000"/>
                <w:kern w:val="0"/>
                <w:szCs w:val="21"/>
                <w:lang w:bidi="ar"/>
              </w:rPr>
              <w:t>行政事业性收费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Cs w:val="21"/>
              </w:rPr>
            </w:pPr>
            <w:r>
              <w:rPr>
                <w:rFonts w:hint="default" w:ascii="Times New Roman" w:hAnsi="Times New Roman" w:eastAsia="宋体" w:cs="Times New Roman"/>
                <w:color w:val="333333"/>
                <w:szCs w:val="21"/>
              </w:rPr>
              <w:t>0</w:t>
            </w:r>
          </w:p>
        </w:tc>
      </w:tr>
    </w:tbl>
    <w:p>
      <w:pPr>
        <w:pStyle w:val="4"/>
        <w:keepLines w:val="0"/>
        <w:pageBreakBefore w:val="0"/>
        <w:widowControl w:val="0"/>
        <w:kinsoku/>
        <w:overflowPunct/>
        <w:autoSpaceDE/>
        <w:autoSpaceDN/>
        <w:bidi w:val="0"/>
        <w:spacing w:line="576"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2023年武汉市自然资源和规划局硚口分局全年共办理政府信息公开申请56件，其中予以公开10件，不予公开1件，部分公开9件，本机关不掌握相关政府信息33件，转2024年3件。</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95"/>
        <w:gridCol w:w="849"/>
        <w:gridCol w:w="3027"/>
        <w:gridCol w:w="632"/>
        <w:gridCol w:w="632"/>
        <w:gridCol w:w="632"/>
        <w:gridCol w:w="632"/>
        <w:gridCol w:w="632"/>
        <w:gridCol w:w="653"/>
        <w:gridCol w:w="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rPr>
            </w:pPr>
            <w:r>
              <w:rPr>
                <w:rFonts w:hint="default" w:ascii="Times New Roman" w:hAnsi="Times New Roman" w:eastAsia="楷体" w:cs="Times New Roman"/>
                <w:color w:val="333333"/>
                <w:kern w:val="0"/>
                <w:sz w:val="28"/>
                <w:szCs w:val="28"/>
                <w:lang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eastAsia="宋体" w:cs="Times New Roman"/>
                <w:color w:val="333333"/>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自然人</w:t>
            </w:r>
          </w:p>
        </w:tc>
        <w:tc>
          <w:tcPr>
            <w:tcW w:w="1766" w:type="pct"/>
            <w:gridSpan w:val="5"/>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法人或其他组织</w:t>
            </w:r>
          </w:p>
        </w:tc>
        <w:tc>
          <w:tcPr>
            <w:tcW w:w="347" w:type="pct"/>
            <w:vMerge w:val="restart"/>
            <w:tcBorders>
              <w:top w:val="single" w:color="auto" w:sz="8" w:space="0"/>
              <w:left w:val="nil"/>
              <w:bottom w:val="outset" w:color="auto" w:sz="6"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eastAsia="宋体" w:cs="Times New Roman"/>
                <w:color w:val="333333"/>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Cs w:val="21"/>
              </w:rPr>
            </w:pP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商业</w:t>
            </w:r>
          </w:p>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企业</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科研</w:t>
            </w:r>
          </w:p>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其他</w:t>
            </w:r>
          </w:p>
        </w:tc>
        <w:tc>
          <w:tcPr>
            <w:tcW w:w="347" w:type="pct"/>
            <w:vMerge w:val="continue"/>
            <w:tcBorders>
              <w:top w:val="single" w:color="auto" w:sz="8" w:space="0"/>
              <w:left w:val="nil"/>
              <w:bottom w:val="outset" w:color="auto" w:sz="6"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eastAsia="宋体" w:cs="Times New Roman"/>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54</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三、本年度办理结</w:t>
            </w:r>
            <w:r>
              <w:rPr>
                <w:rFonts w:hint="eastAsia" w:ascii="Times New Roman" w:hAnsi="Times New Roman" w:cs="Times New Roman"/>
                <w:color w:val="333333"/>
                <w:kern w:val="0"/>
                <w:szCs w:val="21"/>
                <w:lang w:val="en-US" w:eastAsia="zh-CN" w:bidi="ar"/>
              </w:rPr>
              <w:t xml:space="preserve"> </w:t>
            </w:r>
            <w:r>
              <w:rPr>
                <w:rFonts w:hint="default" w:ascii="Times New Roman" w:hAnsi="Times New Roman" w:cs="Times New Roman"/>
                <w:color w:val="333333"/>
                <w:kern w:val="0"/>
                <w:szCs w:val="21"/>
                <w:lang w:bidi="ar"/>
              </w:rPr>
              <w:t>果</w:t>
            </w:r>
          </w:p>
        </w:tc>
        <w:tc>
          <w:tcPr>
            <w:tcW w:w="215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（一）予以公开</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10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color w:val="333333"/>
                <w:szCs w:val="21"/>
              </w:rPr>
            </w:pPr>
          </w:p>
        </w:tc>
        <w:tc>
          <w:tcPr>
            <w:tcW w:w="215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（二）部分公开（区分处理的，只计这一情形，不计其他情形）</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1</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color w:val="333333"/>
                <w:szCs w:val="21"/>
              </w:rPr>
            </w:pPr>
          </w:p>
        </w:tc>
        <w:tc>
          <w:tcPr>
            <w:tcW w:w="47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（三）不予公开</w:t>
            </w: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1.属于国家秘密</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2.其他法律行政法规禁止公开</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hint="default" w:ascii="Times New Roman" w:hAnsi="Times New Roman" w:cs="Times New Roman"/>
                <w:szCs w:val="21"/>
              </w:rPr>
            </w:pPr>
            <w:r>
              <w:rPr>
                <w:rFonts w:hint="default" w:ascii="Times New Roman" w:hAnsi="Times New Roman" w:cs="Times New Roman"/>
                <w:color w:val="333333"/>
                <w:kern w:val="0"/>
                <w:szCs w:val="21"/>
                <w:lang w:bidi="ar"/>
              </w:rPr>
              <w:t>3.危及“三安全一稳定”</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4.保护第三方合法权益</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5.属于三类内部事务信息</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6.属于四类过程性信息</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1</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7.属于行政执法案卷</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8.属于行政查询事项</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（四）无法提供</w:t>
            </w: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32</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1</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（五）不予处理</w:t>
            </w: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5.要求行政机关确认或重新出具已获取信息</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nil"/>
              <w:left w:val="nil"/>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（六）其他处理</w:t>
            </w:r>
          </w:p>
        </w:tc>
        <w:tc>
          <w:tcPr>
            <w:tcW w:w="1680"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1.申请人无正当理由逾期不补正、行政机关不再处理其政府信息公开申请</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2.申请人逾期未按收费通知要求缴纳费用、行政机关不再处理其政府信息公开申请</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47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1680"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3.其他</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color w:val="333333"/>
                <w:szCs w:val="21"/>
              </w:rPr>
            </w:pPr>
          </w:p>
        </w:tc>
        <w:tc>
          <w:tcPr>
            <w:tcW w:w="215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（七）总计</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51</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2</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both"/>
              <w:textAlignment w:val="auto"/>
              <w:rPr>
                <w:rFonts w:asciiTheme="minorEastAsia" w:hAnsiTheme="minorEastAsia" w:cstheme="minorEastAsia"/>
                <w:szCs w:val="21"/>
              </w:rPr>
            </w:pPr>
            <w:r>
              <w:rPr>
                <w:rFonts w:hint="eastAsia" w:asciiTheme="minorEastAsia" w:hAnsiTheme="minorEastAsia" w:cstheme="minorEastAsia"/>
                <w:color w:val="333333"/>
                <w:kern w:val="0"/>
                <w:szCs w:val="21"/>
                <w:lang w:bidi="ar"/>
              </w:rPr>
              <w:t>四、结转下年度继续办理</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333333"/>
                <w:kern w:val="0"/>
                <w:szCs w:val="21"/>
                <w:lang w:bidi="ar"/>
              </w:rPr>
              <w:t>3</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szCs w:val="21"/>
              </w:rPr>
            </w:pP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61"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0</w:t>
            </w:r>
          </w:p>
        </w:tc>
        <w:tc>
          <w:tcPr>
            <w:tcW w:w="347" w:type="pct"/>
            <w:tcBorders>
              <w:top w:val="single" w:color="auto" w:sz="8" w:space="0"/>
              <w:left w:val="single" w:color="auto" w:sz="8" w:space="0"/>
              <w:bottom w:val="single" w:color="auto" w:sz="8" w:space="0"/>
              <w:right w:val="single" w:color="auto" w:sz="8"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rPr>
            </w:pPr>
            <w:r>
              <w:rPr>
                <w:rFonts w:hint="default" w:ascii="Times New Roman" w:hAnsi="Times New Roman" w:eastAsia="宋体" w:cs="Times New Roman"/>
                <w:szCs w:val="21"/>
              </w:rPr>
              <w:t>3</w:t>
            </w:r>
          </w:p>
        </w:tc>
      </w:tr>
    </w:tbl>
    <w:p>
      <w:pPr>
        <w:pStyle w:val="4"/>
        <w:keepLines w:val="0"/>
        <w:pageBreakBefore w:val="0"/>
        <w:widowControl w:val="0"/>
        <w:kinsoku/>
        <w:overflowPunct/>
        <w:autoSpaceDE/>
        <w:autoSpaceDN/>
        <w:bidi w:val="0"/>
        <w:spacing w:line="576"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2023年度，武汉市自然资源和规划局硚口分局有行政复议0起，未经复议直接起诉0起，复议后起诉2起。</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591"/>
        <w:gridCol w:w="594"/>
        <w:gridCol w:w="594"/>
        <w:gridCol w:w="607"/>
        <w:gridCol w:w="594"/>
        <w:gridCol w:w="594"/>
        <w:gridCol w:w="596"/>
        <w:gridCol w:w="656"/>
        <w:gridCol w:w="659"/>
        <w:gridCol w:w="596"/>
        <w:gridCol w:w="596"/>
        <w:gridCol w:w="596"/>
        <w:gridCol w:w="596"/>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行政复议</w:t>
            </w:r>
          </w:p>
        </w:tc>
        <w:tc>
          <w:tcPr>
            <w:tcW w:w="3357"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 w:type="pct"/>
            <w:vMerge w:val="restart"/>
            <w:tcBorders>
              <w:top w:val="nil"/>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结果维持</w:t>
            </w:r>
          </w:p>
        </w:tc>
        <w:tc>
          <w:tcPr>
            <w:tcW w:w="326" w:type="pct"/>
            <w:vMerge w:val="restart"/>
            <w:tcBorders>
              <w:top w:val="nil"/>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结果</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纠正</w:t>
            </w:r>
          </w:p>
        </w:tc>
        <w:tc>
          <w:tcPr>
            <w:tcW w:w="3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其他</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结果</w:t>
            </w:r>
          </w:p>
        </w:tc>
        <w:tc>
          <w:tcPr>
            <w:tcW w:w="3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尚未</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总计</w:t>
            </w:r>
          </w:p>
        </w:tc>
        <w:tc>
          <w:tcPr>
            <w:tcW w:w="17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未经复议直接起诉</w:t>
            </w:r>
          </w:p>
        </w:tc>
        <w:tc>
          <w:tcPr>
            <w:tcW w:w="164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 w:type="pct"/>
            <w:vMerge w:val="continue"/>
            <w:tcBorders>
              <w:top w:val="nil"/>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 w:val="21"/>
                <w:szCs w:val="21"/>
              </w:rPr>
            </w:pPr>
          </w:p>
        </w:tc>
        <w:tc>
          <w:tcPr>
            <w:tcW w:w="326" w:type="pct"/>
            <w:vMerge w:val="continue"/>
            <w:tcBorders>
              <w:top w:val="nil"/>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 w:val="21"/>
                <w:szCs w:val="21"/>
              </w:rPr>
            </w:pP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 w:val="21"/>
                <w:szCs w:val="21"/>
              </w:rPr>
            </w:pP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 w:val="21"/>
                <w:szCs w:val="21"/>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结果</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维持</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结果</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其他</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结果</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尚未</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审结</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bidi="ar"/>
              </w:rPr>
              <w:t>总计</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结果</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结果</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bidi="ar"/>
              </w:rPr>
              <w:t>其他</w:t>
            </w:r>
            <w:r>
              <w:rPr>
                <w:rFonts w:hint="default" w:ascii="Times New Roman" w:hAnsi="Times New Roman" w:eastAsia="宋体" w:cs="Times New Roman"/>
                <w:color w:val="000000"/>
                <w:kern w:val="0"/>
                <w:sz w:val="21"/>
                <w:szCs w:val="21"/>
                <w:lang w:bidi="ar"/>
              </w:rPr>
              <w:br w:type="textWrapping"/>
            </w:r>
            <w:r>
              <w:rPr>
                <w:rFonts w:hint="default" w:ascii="Times New Roman" w:hAnsi="Times New Roman" w:eastAsia="宋体" w:cs="Times New Roman"/>
                <w:color w:val="000000"/>
                <w:kern w:val="0"/>
                <w:sz w:val="21"/>
                <w:szCs w:val="21"/>
                <w:lang w:bidi="ar"/>
              </w:rPr>
              <w:t>结果</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333333"/>
                <w:kern w:val="0"/>
                <w:sz w:val="21"/>
                <w:szCs w:val="21"/>
                <w:lang w:bidi="ar"/>
              </w:rPr>
              <w:t>尚未</w:t>
            </w:r>
            <w:r>
              <w:rPr>
                <w:rFonts w:hint="default" w:ascii="Times New Roman" w:hAnsi="Times New Roman" w:eastAsia="宋体" w:cs="Times New Roman"/>
                <w:color w:val="333333"/>
                <w:kern w:val="0"/>
                <w:sz w:val="21"/>
                <w:szCs w:val="21"/>
                <w:lang w:bidi="ar"/>
              </w:rPr>
              <w:br w:type="textWrapping"/>
            </w:r>
            <w:r>
              <w:rPr>
                <w:rFonts w:hint="default" w:ascii="Times New Roman" w:hAnsi="Times New Roman" w:eastAsia="宋体" w:cs="Times New Roman"/>
                <w:color w:val="333333"/>
                <w:kern w:val="0"/>
                <w:sz w:val="21"/>
                <w:szCs w:val="21"/>
                <w:lang w:bidi="ar"/>
              </w:rPr>
              <w:t>审结</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333333"/>
                <w:sz w:val="21"/>
                <w:szCs w:val="21"/>
                <w:lang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黑体" w:cs="Times New Roman"/>
                <w:color w:val="333333"/>
                <w:sz w:val="21"/>
                <w:szCs w:val="21"/>
                <w:lang w:bidi="ar"/>
              </w:rPr>
              <w:t>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333333"/>
                <w:sz w:val="21"/>
                <w:szCs w:val="21"/>
                <w:lang w:bidi="ar"/>
              </w:rPr>
              <w:t>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333333"/>
                <w:sz w:val="21"/>
                <w:szCs w:val="21"/>
                <w:lang w:bidi="ar"/>
              </w:rPr>
              <w:t>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黑体" w:cs="Times New Roman"/>
                <w:color w:val="333333"/>
                <w:sz w:val="21"/>
                <w:szCs w:val="21"/>
                <w:lang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widowControl w:val="0"/>
              <w:kinsoku/>
              <w:overflowPunct/>
              <w:autoSpaceDE/>
              <w:autoSpaceDN/>
              <w:bidi w:val="0"/>
              <w:spacing w:line="576" w:lineRule="exact"/>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2</w:t>
            </w:r>
          </w:p>
        </w:tc>
      </w:tr>
    </w:tbl>
    <w:p>
      <w:pPr>
        <w:pStyle w:val="4"/>
        <w:keepLines w:val="0"/>
        <w:pageBreakBefore w:val="0"/>
        <w:widowControl w:val="0"/>
        <w:kinsoku/>
        <w:overflowPunct/>
        <w:autoSpaceDE/>
        <w:autoSpaceDN/>
        <w:bidi w:val="0"/>
        <w:spacing w:line="576"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五、存在的主要问题及改进情况</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（一）上年度存在的问题及改进情况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2022年存在的问题：一是部分单位政务公开标准化规范化工作有待进一步加强；二是部分重点领域公开内容还不够充分，主动公开精细化规范化有待提高；三是常态化监督管理有待进一步织细织密。</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改进情况：一是加大信息公开力度。用好用活信息公开阵地，通过网站、微信等形式，争取线上线下齐发力。打造高质优秀的宣传阵地、信息公开阵地，切实提升社会公众对政务公开工作的认知。二是对照政务公开、网站和新媒体等考核要求，做好门户网站日常信息更新，并按季度进行自查，对发现问题及时整改。三是以提高政务服务“好差评”满意度为目标，做好“市长热线”、“区长信箱”、政务服务热线沟通答复工作，群众满意率达到99％以上。</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（二）本年度存在的问题及下年度改进举措</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2023年，政务公开工作虽取得了一定的成效，但对照文件要求仍存在一些不足之处，主要表现为：主动公开信息不全面，统筹全区公开工作、加强业务培训有待提高。</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2024年，我局将重点做好以下几项工作：一是采取措施加强对各部门政府信息公开工作进行指导监督；二是计划组织一次政府信息公开工作骨干力量业务培训会，规范工作程序，提高信息公开工作的质量和效率；三是认真梳理信息公开目录内容，加大主动公开力度。</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楷体" w:hAnsi="楷体" w:eastAsia="楷体" w:cs="楷体"/>
          <w:sz w:val="32"/>
          <w:szCs w:val="32"/>
        </w:rPr>
      </w:pPr>
      <w:r>
        <w:rPr>
          <w:rFonts w:hint="eastAsia" w:ascii="楷体" w:hAnsi="楷体" w:eastAsia="楷体" w:cs="楷体"/>
          <w:sz w:val="32"/>
          <w:szCs w:val="32"/>
        </w:rPr>
        <w:t>（一）政府信息处理费收取情况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根据国务院办公厅印发的《政府信息公开信息处理费管理办法》关于政府信息公开信息处理费收取工作的有关规定，我局在2023年度没有收到超过一定数量或频次范围的政府信息公开申请，也未对申请人收取政府信息处理费。</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方正楷体_GBK" w:hAnsi="方正楷体_GBK" w:eastAsia="方正楷体_GBK" w:cs="方正楷体_GBK"/>
          <w:sz w:val="32"/>
          <w:szCs w:val="32"/>
          <w:highlight w:val="yellow"/>
        </w:rPr>
      </w:pPr>
      <w:r>
        <w:rPr>
          <w:rFonts w:hint="eastAsia" w:ascii="楷体" w:hAnsi="楷体" w:eastAsia="楷体" w:cs="楷体"/>
          <w:sz w:val="32"/>
          <w:szCs w:val="32"/>
        </w:rPr>
        <w:t>（二）议题案办理情况</w:t>
      </w:r>
    </w:p>
    <w:p>
      <w:pPr>
        <w:keepNext/>
        <w:keepLines w:val="0"/>
        <w:pageBreakBefore w:val="0"/>
        <w:widowControl w:val="0"/>
        <w:kinsoku/>
        <w:wordWrap w:val="0"/>
        <w:overflowPunct/>
        <w:topLinePunct/>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2023年，我局主动公开、依申请公开政府信息均未收取任何检索、复制、邮寄等费用。较好落实了政务公开工作要点，全年办理市区人大议案代表建议案和政协提案30件，其中主办1件，协办29件，都按规定时限完成回复和走访，主办件均做到了走访率、回复率、满意率100%。</w:t>
      </w:r>
    </w:p>
    <w:p>
      <w:pPr>
        <w:pStyle w:val="4"/>
        <w:keepLines w:val="0"/>
        <w:pageBreakBefore w:val="0"/>
        <w:widowControl w:val="0"/>
        <w:kinsoku/>
        <w:overflowPunct/>
        <w:autoSpaceDE/>
        <w:autoSpaceDN/>
        <w:bidi w:val="0"/>
        <w:spacing w:line="576" w:lineRule="exact"/>
        <w:ind w:firstLine="640" w:firstLineChars="200"/>
        <w:jc w:val="both"/>
        <w:textAlignment w:val="auto"/>
        <w:rPr>
          <w:rFonts w:ascii="仿宋" w:hAnsi="仿宋" w:eastAsia="仿宋" w:cs="仿宋"/>
          <w:sz w:val="32"/>
          <w:szCs w:val="32"/>
        </w:rPr>
      </w:pPr>
    </w:p>
    <w:p>
      <w:pPr>
        <w:pStyle w:val="4"/>
        <w:keepLines w:val="0"/>
        <w:pageBreakBefore w:val="0"/>
        <w:widowControl w:val="0"/>
        <w:kinsoku/>
        <w:overflowPunct/>
        <w:autoSpaceDE/>
        <w:autoSpaceDN/>
        <w:bidi w:val="0"/>
        <w:spacing w:line="576" w:lineRule="exact"/>
        <w:ind w:firstLine="640" w:firstLineChars="200"/>
        <w:jc w:val="both"/>
        <w:textAlignment w:val="auto"/>
        <w:rPr>
          <w:rFonts w:ascii="仿宋" w:hAnsi="仿宋" w:eastAsia="仿宋" w:cs="仿宋"/>
          <w:sz w:val="32"/>
          <w:szCs w:val="32"/>
        </w:rPr>
      </w:pPr>
    </w:p>
    <w:p>
      <w:pPr>
        <w:pStyle w:val="4"/>
        <w:keepLines w:val="0"/>
        <w:pageBreakBefore w:val="0"/>
        <w:widowControl w:val="0"/>
        <w:kinsoku/>
        <w:overflowPunct/>
        <w:autoSpaceDE/>
        <w:autoSpaceDN/>
        <w:bidi w:val="0"/>
        <w:spacing w:line="576" w:lineRule="exact"/>
        <w:jc w:val="both"/>
        <w:textAlignment w:val="auto"/>
        <w:rPr>
          <w:rFonts w:ascii="仿宋" w:hAnsi="仿宋" w:eastAsia="仿宋" w:cs="仿宋"/>
          <w:sz w:val="32"/>
          <w:szCs w:val="32"/>
        </w:rPr>
      </w:pPr>
    </w:p>
    <w:p>
      <w:pPr>
        <w:keepNext/>
        <w:keepLines w:val="0"/>
        <w:pageBreakBefore w:val="0"/>
        <w:widowControl w:val="0"/>
        <w:kinsoku/>
        <w:wordWrap w:val="0"/>
        <w:overflowPunct/>
        <w:topLinePunct/>
        <w:autoSpaceDE/>
        <w:autoSpaceDN/>
        <w:bidi w:val="0"/>
        <w:adjustRightInd w:val="0"/>
        <w:snapToGrid w:val="0"/>
        <w:spacing w:line="576" w:lineRule="exact"/>
        <w:ind w:firstLine="3840" w:firstLineChars="12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武汉市自然资源和规划局硚口分局</w:t>
      </w:r>
    </w:p>
    <w:p>
      <w:pPr>
        <w:keepNext/>
        <w:keepLines w:val="0"/>
        <w:pageBreakBefore w:val="0"/>
        <w:widowControl w:val="0"/>
        <w:kinsoku/>
        <w:wordWrap w:val="0"/>
        <w:overflowPunct/>
        <w:topLinePunct/>
        <w:autoSpaceDE/>
        <w:autoSpaceDN/>
        <w:bidi w:val="0"/>
        <w:adjustRightInd w:val="0"/>
        <w:snapToGrid w:val="0"/>
        <w:spacing w:line="576" w:lineRule="exact"/>
        <w:ind w:firstLine="5120" w:firstLineChars="1600"/>
        <w:jc w:val="both"/>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2024年1月4日</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2FB4A6-67E5-4620-849B-EE37C549C5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D12958-FD38-4493-91DC-7F20235121F0}"/>
  </w:font>
  <w:font w:name="仿宋_GB2312">
    <w:panose1 w:val="02010609030101010101"/>
    <w:charset w:val="86"/>
    <w:family w:val="auto"/>
    <w:pitch w:val="default"/>
    <w:sig w:usb0="00000001" w:usb1="080E0000" w:usb2="00000000" w:usb3="00000000" w:csb0="00040000" w:csb1="00000000"/>
    <w:embedRegular r:id="rId3" w:fontKey="{258CBEA5-982D-44B7-A33C-6F1F7CDE84B0}"/>
  </w:font>
  <w:font w:name="仿宋">
    <w:panose1 w:val="02010609060101010101"/>
    <w:charset w:val="86"/>
    <w:family w:val="modern"/>
    <w:pitch w:val="default"/>
    <w:sig w:usb0="800002BF" w:usb1="38CF7CFA" w:usb2="00000016" w:usb3="00000000" w:csb0="00040001" w:csb1="00000000"/>
    <w:embedRegular r:id="rId4" w:fontKey="{0C182321-35D7-4884-8E5A-D26F228F9335}"/>
  </w:font>
  <w:font w:name="楷体">
    <w:panose1 w:val="02010609060101010101"/>
    <w:charset w:val="86"/>
    <w:family w:val="modern"/>
    <w:pitch w:val="default"/>
    <w:sig w:usb0="800002BF" w:usb1="38CF7CFA" w:usb2="00000016" w:usb3="00000000" w:csb0="00040001" w:csb1="00000000"/>
    <w:embedRegular r:id="rId5" w:fontKey="{BE0F0CA2-E784-47AC-BF67-D0545545F953}"/>
  </w:font>
  <w:font w:name="方正楷体_GBK">
    <w:altName w:val="Malgun Gothic Semilight"/>
    <w:panose1 w:val="00000000000000000000"/>
    <w:charset w:val="86"/>
    <w:family w:val="auto"/>
    <w:pitch w:val="default"/>
    <w:sig w:usb0="00000000" w:usb1="00000000" w:usb2="00000016" w:usb3="00000000" w:csb0="00040000" w:csb1="00000000"/>
    <w:embedRegular r:id="rId6" w:fontKey="{0CB41D6D-719F-420B-B3A3-1FD5898EEAAD}"/>
  </w:font>
  <w:font w:name="Malgun Gothic Semilight">
    <w:panose1 w:val="020B0502040204020203"/>
    <w:charset w:val="86"/>
    <w:family w:val="auto"/>
    <w:pitch w:val="default"/>
    <w:sig w:usb0="900002AF" w:usb1="01D77CFB" w:usb2="00000012" w:usb3="00000000" w:csb0="203E01BD" w:csb1="D7FF0000"/>
  </w:font>
  <w:font w:name="方正小标宋_GBK">
    <w:panose1 w:val="03000509000000000000"/>
    <w:charset w:val="86"/>
    <w:family w:val="auto"/>
    <w:pitch w:val="default"/>
    <w:sig w:usb0="00000001" w:usb1="080E0000" w:usb2="00000000" w:usb3="00000000" w:csb0="00040000" w:csb1="00000000"/>
    <w:embedRegular r:id="rId7" w:fontKey="{394AF063-DDDE-4A49-9D86-3AEE43D5CC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MEr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JMErfeAgAAJAYAAA4AAAAAAAAAAQAgAAAAHwEAAGRycy9lMm9Eb2MueG1sUEsF&#10;BgAAAAAGAAYAWQEAAG8G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ZmNjNDc1OGMwYjdjNTFmNzNhZTA2Y2VlNDkwZDQifQ=="/>
  </w:docVars>
  <w:rsids>
    <w:rsidRoot w:val="238B1E27"/>
    <w:rsid w:val="000559D0"/>
    <w:rsid w:val="00094972"/>
    <w:rsid w:val="000A7548"/>
    <w:rsid w:val="000A7A31"/>
    <w:rsid w:val="000C32E3"/>
    <w:rsid w:val="001452BE"/>
    <w:rsid w:val="00210108"/>
    <w:rsid w:val="00227500"/>
    <w:rsid w:val="00260F2D"/>
    <w:rsid w:val="00265874"/>
    <w:rsid w:val="002A7996"/>
    <w:rsid w:val="00327210"/>
    <w:rsid w:val="003A79C2"/>
    <w:rsid w:val="00456ED1"/>
    <w:rsid w:val="004738CB"/>
    <w:rsid w:val="004A72CA"/>
    <w:rsid w:val="00563C68"/>
    <w:rsid w:val="006326E3"/>
    <w:rsid w:val="00696BE2"/>
    <w:rsid w:val="007577FF"/>
    <w:rsid w:val="00777BFB"/>
    <w:rsid w:val="008015FE"/>
    <w:rsid w:val="008969C4"/>
    <w:rsid w:val="008E693E"/>
    <w:rsid w:val="00923FF4"/>
    <w:rsid w:val="00962F01"/>
    <w:rsid w:val="00963EFC"/>
    <w:rsid w:val="00A30113"/>
    <w:rsid w:val="00BA0DEF"/>
    <w:rsid w:val="00C451CE"/>
    <w:rsid w:val="00C83E51"/>
    <w:rsid w:val="00D1539B"/>
    <w:rsid w:val="00D26CAF"/>
    <w:rsid w:val="00D54C7E"/>
    <w:rsid w:val="00D610E9"/>
    <w:rsid w:val="00DA6B08"/>
    <w:rsid w:val="00E11808"/>
    <w:rsid w:val="00E647B6"/>
    <w:rsid w:val="00E7570A"/>
    <w:rsid w:val="00EE59A1"/>
    <w:rsid w:val="00F47B0F"/>
    <w:rsid w:val="00F61BF5"/>
    <w:rsid w:val="00FB6C0A"/>
    <w:rsid w:val="033009DE"/>
    <w:rsid w:val="0B1D730C"/>
    <w:rsid w:val="0B336C77"/>
    <w:rsid w:val="13857617"/>
    <w:rsid w:val="15D04D6A"/>
    <w:rsid w:val="1E870438"/>
    <w:rsid w:val="200D4801"/>
    <w:rsid w:val="20B41BC5"/>
    <w:rsid w:val="21C80342"/>
    <w:rsid w:val="238B1E27"/>
    <w:rsid w:val="246D7F4A"/>
    <w:rsid w:val="246E2621"/>
    <w:rsid w:val="2D3E36AD"/>
    <w:rsid w:val="380214FF"/>
    <w:rsid w:val="397119C0"/>
    <w:rsid w:val="3A0948D8"/>
    <w:rsid w:val="3C481DED"/>
    <w:rsid w:val="3CA01523"/>
    <w:rsid w:val="3D691B57"/>
    <w:rsid w:val="3F8D3318"/>
    <w:rsid w:val="4CBC19E8"/>
    <w:rsid w:val="529152E0"/>
    <w:rsid w:val="56184B75"/>
    <w:rsid w:val="565407E9"/>
    <w:rsid w:val="56877819"/>
    <w:rsid w:val="56BD7910"/>
    <w:rsid w:val="5F6B7317"/>
    <w:rsid w:val="6111574C"/>
    <w:rsid w:val="6D35616A"/>
    <w:rsid w:val="72220775"/>
    <w:rsid w:val="79FB1236"/>
    <w:rsid w:val="7A88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rFonts w:cs="Times New Roman"/>
      <w:kern w:val="0"/>
      <w:sz w:val="24"/>
    </w:r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522</Words>
  <Characters>2981</Characters>
  <Lines>24</Lines>
  <Paragraphs>6</Paragraphs>
  <TotalTime>77</TotalTime>
  <ScaleCrop>false</ScaleCrop>
  <LinksUpToDate>false</LinksUpToDate>
  <CharactersWithSpaces>3497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2024-01-05T01:53:00Z</dcterms:created>
  <dc:creator>WPS_1624785580</dc:creator>
  <cp:lastModifiedBy>MuzTaw</cp:lastModifiedBy>
  <cp:lastPrinted>2024-01-10T01:47:00Z</cp:lastPrinted>
  <dcterms:modified xsi:type="dcterms:W3CDTF">2024-01-24T03:16:07Z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0D93699D210C4A749BE77D3A3954EE8C</vt:lpwstr>
  </property>
</Properties>
</file>