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560" w:lineRule="exact"/>
        <w:jc w:val="center"/>
        <w:rPr>
          <w:rFonts w:cs="仿宋_GB2312" w:asciiTheme="majorEastAsia" w:hAnsiTheme="majorEastAsia" w:eastAsiaTheme="majorEastAsia"/>
          <w:b/>
          <w:color w:val="000000"/>
          <w:sz w:val="44"/>
          <w:szCs w:val="44"/>
        </w:rPr>
      </w:pPr>
      <w:r>
        <w:rPr>
          <w:rFonts w:hint="eastAsia" w:cs="仿宋_GB2312" w:asciiTheme="majorEastAsia" w:hAnsiTheme="majorEastAsia" w:eastAsiaTheme="majorEastAsia"/>
          <w:b/>
          <w:color w:val="000000"/>
          <w:sz w:val="44"/>
          <w:szCs w:val="44"/>
        </w:rPr>
        <w:t>武汉市自然资源和规划局硚口分局</w:t>
      </w:r>
      <w:r>
        <w:rPr>
          <w:rFonts w:cs="仿宋_GB2312" w:asciiTheme="majorEastAsia" w:hAnsiTheme="majorEastAsia" w:eastAsiaTheme="majorEastAsia"/>
          <w:b/>
          <w:color w:val="000000"/>
          <w:sz w:val="44"/>
          <w:szCs w:val="44"/>
        </w:rPr>
        <w:t>20</w:t>
      </w:r>
      <w:r>
        <w:rPr>
          <w:rFonts w:hint="eastAsia" w:cs="仿宋_GB2312" w:asciiTheme="majorEastAsia" w:hAnsiTheme="majorEastAsia" w:eastAsiaTheme="majorEastAsia"/>
          <w:b/>
          <w:color w:val="000000"/>
          <w:sz w:val="44"/>
          <w:szCs w:val="44"/>
        </w:rPr>
        <w:t>22年</w:t>
      </w:r>
    </w:p>
    <w:p>
      <w:pPr>
        <w:pStyle w:val="4"/>
        <w:widowControl/>
        <w:spacing w:line="560" w:lineRule="exact"/>
        <w:jc w:val="center"/>
        <w:rPr>
          <w:rFonts w:cs="宋体" w:asciiTheme="majorEastAsia" w:hAnsiTheme="majorEastAsia" w:eastAsiaTheme="majorEastAsia"/>
          <w:sz w:val="44"/>
          <w:szCs w:val="44"/>
        </w:rPr>
      </w:pPr>
      <w:r>
        <w:rPr>
          <w:rFonts w:hint="eastAsia" w:cs="宋体" w:asciiTheme="majorEastAsia" w:hAnsiTheme="majorEastAsia" w:eastAsiaTheme="majorEastAsia"/>
          <w:b/>
          <w:sz w:val="44"/>
          <w:szCs w:val="44"/>
        </w:rPr>
        <w:t>政府信息公开工作年度报告</w:t>
      </w:r>
    </w:p>
    <w:p>
      <w:pPr>
        <w:pStyle w:val="4"/>
        <w:widowControl/>
        <w:spacing w:line="560" w:lineRule="exact"/>
        <w:ind w:firstLine="420"/>
        <w:jc w:val="both"/>
        <w:rPr>
          <w:rFonts w:ascii="宋体" w:hAnsi="宋体" w:eastAsia="宋体" w:cs="宋体"/>
        </w:rPr>
      </w:pPr>
    </w:p>
    <w:p>
      <w:pPr>
        <w:pStyle w:val="4"/>
        <w:widowControl/>
        <w:spacing w:line="560" w:lineRule="exact"/>
        <w:ind w:firstLine="640" w:firstLineChars="200"/>
        <w:jc w:val="both"/>
        <w:rPr>
          <w:rFonts w:ascii="黑体" w:hAnsi="黑体" w:eastAsia="黑体" w:cs="黑体"/>
          <w:sz w:val="32"/>
          <w:szCs w:val="32"/>
        </w:rPr>
      </w:pPr>
      <w:r>
        <w:rPr>
          <w:rFonts w:hint="eastAsia" w:ascii="黑体" w:hAnsi="黑体" w:eastAsia="黑体" w:cs="黑体"/>
          <w:color w:val="333333"/>
          <w:sz w:val="32"/>
          <w:szCs w:val="32"/>
        </w:rPr>
        <w:t>一、总体情况</w:t>
      </w:r>
    </w:p>
    <w:p>
      <w:pPr>
        <w:spacing w:line="560" w:lineRule="exact"/>
        <w:ind w:firstLine="640" w:firstLineChars="200"/>
        <w:jc w:val="left"/>
        <w:rPr>
          <w:rFonts w:ascii="仿宋" w:hAnsi="仿宋" w:eastAsia="仿宋" w:cs="仿宋"/>
          <w:color w:val="000000"/>
          <w:sz w:val="32"/>
          <w:szCs w:val="32"/>
        </w:rPr>
      </w:pPr>
      <w:r>
        <w:rPr>
          <w:rFonts w:ascii="仿宋" w:hAnsi="仿宋" w:eastAsia="仿宋" w:cs="仿宋"/>
          <w:color w:val="000000"/>
          <w:sz w:val="32"/>
          <w:szCs w:val="32"/>
        </w:rPr>
        <w:t>20</w:t>
      </w:r>
      <w:r>
        <w:rPr>
          <w:rFonts w:hint="eastAsia" w:ascii="仿宋" w:hAnsi="仿宋" w:eastAsia="仿宋" w:cs="仿宋"/>
          <w:color w:val="000000"/>
          <w:sz w:val="32"/>
          <w:szCs w:val="32"/>
        </w:rPr>
        <w:t>22年，分局认真贯彻实施《中华人民共和国政府信息公开条例》和《武汉市自然资源和规划局政府信息公开实施办法》，按照市局和区政府办的部署要求，紧密结合实际，积极做好政务信息公开工作，主要情况如下：</w:t>
      </w:r>
    </w:p>
    <w:p>
      <w:pPr>
        <w:spacing w:line="560" w:lineRule="exact"/>
        <w:ind w:firstLine="640" w:firstLineChars="200"/>
        <w:jc w:val="left"/>
        <w:rPr>
          <w:rFonts w:ascii="仿宋" w:hAnsi="仿宋" w:eastAsia="仿宋" w:cs="仿宋"/>
          <w:color w:val="000000"/>
          <w:sz w:val="28"/>
          <w:szCs w:val="28"/>
        </w:rPr>
      </w:pPr>
      <w:r>
        <w:rPr>
          <w:rFonts w:hint="eastAsia" w:ascii="楷体" w:hAnsi="楷体" w:eastAsia="楷体" w:cs="仿宋"/>
          <w:color w:val="000000"/>
          <w:kern w:val="0"/>
          <w:sz w:val="32"/>
          <w:szCs w:val="32"/>
        </w:rPr>
        <w:t>（一）主动公开政府信息的情况</w:t>
      </w:r>
    </w:p>
    <w:p>
      <w:pPr>
        <w:widowControl/>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kern w:val="0"/>
          <w:sz w:val="32"/>
          <w:szCs w:val="32"/>
        </w:rPr>
        <w:t>1.网站信息公开情况</w:t>
      </w:r>
    </w:p>
    <w:p>
      <w:pPr>
        <w:widowControl/>
        <w:spacing w:line="560" w:lineRule="exact"/>
        <w:ind w:firstLine="640" w:firstLineChars="200"/>
        <w:jc w:val="left"/>
        <w:rPr>
          <w:rFonts w:ascii="仿宋" w:hAnsi="仿宋" w:eastAsia="仿宋" w:cs="仿宋"/>
          <w:color w:val="000000"/>
          <w:sz w:val="32"/>
          <w:szCs w:val="32"/>
        </w:rPr>
      </w:pPr>
      <w:r>
        <w:rPr>
          <w:rFonts w:ascii="仿宋" w:hAnsi="仿宋" w:eastAsia="仿宋" w:cs="仿宋"/>
          <w:color w:val="000000"/>
          <w:kern w:val="0"/>
          <w:sz w:val="32"/>
          <w:szCs w:val="32"/>
        </w:rPr>
        <w:t>20</w:t>
      </w:r>
      <w:r>
        <w:rPr>
          <w:rFonts w:hint="eastAsia" w:ascii="仿宋" w:hAnsi="仿宋" w:eastAsia="仿宋" w:cs="仿宋"/>
          <w:color w:val="000000"/>
          <w:kern w:val="0"/>
          <w:sz w:val="32"/>
          <w:szCs w:val="32"/>
        </w:rPr>
        <w:t>22年度分局网站共发布各类信息129条，包括：分局新闻动态57条，执法监察基本信息1条；链接市局业务审批系统汇总的分局业务审批进展情况数据共公开71条，其中选址意见书25条，用地规划许可证9条，建设工程规划许可证14条，建设工程规划验收合格证8条，规划项目批前公示15条。</w:t>
      </w:r>
    </w:p>
    <w:p>
      <w:pPr>
        <w:widowControl/>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kern w:val="0"/>
          <w:sz w:val="32"/>
          <w:szCs w:val="32"/>
        </w:rPr>
        <w:t>2.其它方式的政府信息公开情况</w:t>
      </w:r>
    </w:p>
    <w:p>
      <w:pPr>
        <w:widowControl/>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kern w:val="0"/>
          <w:sz w:val="32"/>
          <w:szCs w:val="32"/>
        </w:rPr>
        <w:t>分局除了以政务网站进行政务公开外，还利用新闻媒体发布、触摸屏、电子大屏幕、和现场公示等多种方式同时开展了政府信息公开工作。区政务服务中心窗口，通过在政务大厅设置的大屏幕及时公示审批结果、收费事项、等信息，将分局各项审批项目编制办事指南，方便办事单位及群众。</w:t>
      </w:r>
    </w:p>
    <w:p>
      <w:pPr>
        <w:widowControl/>
        <w:spacing w:line="560" w:lineRule="exact"/>
        <w:ind w:firstLine="640" w:firstLineChars="200"/>
        <w:jc w:val="left"/>
        <w:rPr>
          <w:rFonts w:ascii="仿宋" w:hAnsi="仿宋" w:eastAsia="仿宋" w:cs="仿宋"/>
          <w:color w:val="000000"/>
          <w:sz w:val="28"/>
          <w:szCs w:val="28"/>
        </w:rPr>
      </w:pPr>
      <w:r>
        <w:rPr>
          <w:rFonts w:hint="eastAsia" w:ascii="楷体" w:hAnsi="楷体" w:eastAsia="楷体" w:cs="仿宋"/>
          <w:color w:val="000000"/>
          <w:kern w:val="0"/>
          <w:sz w:val="32"/>
          <w:szCs w:val="32"/>
        </w:rPr>
        <w:t>（二）依申请公开政府信息的情况</w:t>
      </w:r>
    </w:p>
    <w:p>
      <w:pPr>
        <w:widowControl/>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kern w:val="0"/>
          <w:sz w:val="32"/>
          <w:szCs w:val="32"/>
        </w:rPr>
        <w:t>全年分局收到101个政府信息公开书面申请，全部按要求，按时进行了回复。</w:t>
      </w:r>
    </w:p>
    <w:p>
      <w:pPr>
        <w:widowControl/>
        <w:spacing w:line="560" w:lineRule="exact"/>
        <w:ind w:firstLine="640" w:firstLineChars="200"/>
        <w:jc w:val="left"/>
        <w:rPr>
          <w:rFonts w:ascii="楷体" w:hAnsi="楷体" w:eastAsia="楷体" w:cs="仿宋"/>
          <w:color w:val="000000"/>
          <w:sz w:val="32"/>
          <w:szCs w:val="32"/>
        </w:rPr>
      </w:pPr>
      <w:r>
        <w:rPr>
          <w:rFonts w:hint="eastAsia" w:ascii="楷体" w:hAnsi="楷体" w:eastAsia="楷体" w:cs="仿宋"/>
          <w:color w:val="000000"/>
          <w:kern w:val="0"/>
          <w:sz w:val="32"/>
          <w:szCs w:val="32"/>
        </w:rPr>
        <w:t>（三）扎实推进政府信息公开工作</w:t>
      </w:r>
    </w:p>
    <w:p>
      <w:pPr>
        <w:widowControl/>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kern w:val="0"/>
          <w:sz w:val="32"/>
          <w:szCs w:val="32"/>
        </w:rPr>
        <w:t>分局高度重视政务信息公开工作。全面落实政务信息公开工作要求，完善政务信息公开工作机制，科学划分科室职责。在分局信息化工作领导小组的领导下，成立了由各科室信息员组成的网站更新维护工作专班，下设办公室，具体负责此项工作，确保了信息化建设工作的准确性和时效性，为自然资源和规划政务信息公开工作的顺利开展提供了有力的组织保障。</w:t>
      </w:r>
    </w:p>
    <w:p>
      <w:pPr>
        <w:pStyle w:val="4"/>
        <w:widowControl/>
        <w:spacing w:line="560" w:lineRule="exact"/>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二、主动公开政府信息情况</w:t>
      </w:r>
    </w:p>
    <w:p>
      <w:pPr>
        <w:pStyle w:val="4"/>
        <w:widowControl/>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2022年武汉市自然资源和规划硚口分局共办理行政许可56项。</w:t>
      </w:r>
    </w:p>
    <w:tbl>
      <w:tblPr>
        <w:tblStyle w:val="5"/>
        <w:tblW w:w="5000" w:type="pct"/>
        <w:jc w:val="center"/>
        <w:tblLayout w:type="autofit"/>
        <w:tblCellMar>
          <w:top w:w="0" w:type="dxa"/>
          <w:left w:w="0" w:type="dxa"/>
          <w:bottom w:w="0" w:type="dxa"/>
          <w:right w:w="0" w:type="dxa"/>
        </w:tblCellMar>
      </w:tblPr>
      <w:tblGrid>
        <w:gridCol w:w="2282"/>
        <w:gridCol w:w="2282"/>
        <w:gridCol w:w="2282"/>
        <w:gridCol w:w="2282"/>
      </w:tblGrid>
      <w:tr>
        <w:tblPrEx>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60" w:lineRule="exact"/>
              <w:jc w:val="center"/>
              <w:rPr>
                <w:szCs w:val="21"/>
              </w:rPr>
            </w:pPr>
            <w:r>
              <w:rPr>
                <w:rFonts w:hint="eastAsia" w:ascii="宋体" w:hAnsi="宋体" w:eastAsia="宋体" w:cs="宋体"/>
                <w:color w:val="000000"/>
                <w:kern w:val="0"/>
                <w:szCs w:val="21"/>
                <w:lang w:bidi="ar"/>
              </w:rPr>
              <w:t>第二十条第（一）项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60" w:lineRule="exact"/>
              <w:jc w:val="center"/>
              <w:rPr>
                <w:szCs w:val="21"/>
              </w:rPr>
            </w:pPr>
            <w:r>
              <w:rPr>
                <w:rFonts w:hint="eastAsia" w:ascii="宋体" w:hAnsi="宋体" w:eastAsia="宋体" w:cs="宋体"/>
                <w:color w:val="000000"/>
                <w:kern w:val="0"/>
                <w:szCs w:val="21"/>
                <w:lang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560" w:lineRule="exact"/>
              <w:jc w:val="center"/>
              <w:rPr>
                <w:szCs w:val="21"/>
              </w:rPr>
            </w:pPr>
            <w:r>
              <w:rPr>
                <w:rFonts w:hint="eastAsia" w:ascii="宋体" w:hAnsi="宋体" w:eastAsia="宋体" w:cs="宋体"/>
                <w:color w:val="000000"/>
                <w:kern w:val="0"/>
                <w:szCs w:val="21"/>
                <w:lang w:bidi="ar"/>
              </w:rPr>
              <w:t>本年</w:t>
            </w:r>
            <w:r>
              <w:rPr>
                <w:rFonts w:hint="eastAsia" w:ascii="宋体" w:hAnsi="宋体" w:eastAsia="宋体" w:cs="宋体"/>
                <w:color w:val="333333"/>
                <w:kern w:val="0"/>
                <w:szCs w:val="21"/>
                <w:lang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widowControl/>
              <w:spacing w:line="560" w:lineRule="exact"/>
              <w:jc w:val="center"/>
              <w:rPr>
                <w:szCs w:val="21"/>
              </w:rPr>
            </w:pPr>
            <w:r>
              <w:rPr>
                <w:rFonts w:hint="eastAsia" w:ascii="宋体" w:hAnsi="宋体" w:eastAsia="宋体" w:cs="宋体"/>
                <w:color w:val="000000"/>
                <w:kern w:val="0"/>
                <w:szCs w:val="21"/>
                <w:lang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560" w:lineRule="exact"/>
              <w:jc w:val="center"/>
              <w:rPr>
                <w:szCs w:val="21"/>
              </w:rPr>
            </w:pPr>
            <w:r>
              <w:rPr>
                <w:rFonts w:hint="eastAsia" w:ascii="宋体" w:hAnsi="宋体" w:eastAsia="宋体" w:cs="宋体"/>
                <w:color w:val="000000"/>
                <w:kern w:val="0"/>
                <w:szCs w:val="21"/>
                <w:lang w:bidi="ar"/>
              </w:rPr>
              <w:t>现行有效件</w:t>
            </w:r>
            <w:r>
              <w:rPr>
                <w:rFonts w:hint="eastAsia" w:ascii="宋体" w:hAnsi="宋体" w:eastAsia="宋体" w:cs="宋体"/>
                <w:color w:val="333333"/>
                <w:kern w:val="0"/>
                <w:szCs w:val="21"/>
                <w:lang w:bidi="ar"/>
              </w:rPr>
              <w:t>数</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60" w:lineRule="exact"/>
              <w:jc w:val="left"/>
              <w:rPr>
                <w:szCs w:val="21"/>
              </w:rPr>
            </w:pPr>
            <w:r>
              <w:rPr>
                <w:rFonts w:hint="eastAsia" w:ascii="宋体" w:hAnsi="宋体" w:eastAsia="宋体" w:cs="宋体"/>
                <w:color w:val="000000"/>
                <w:kern w:val="0"/>
                <w:szCs w:val="21"/>
                <w:lang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60" w:lineRule="exact"/>
              <w:jc w:val="left"/>
              <w:rPr>
                <w:szCs w:val="21"/>
              </w:rPr>
            </w:pPr>
            <w:r>
              <w:rPr>
                <w:rFonts w:hint="eastAsia" w:ascii="宋体" w:hAnsi="宋体" w:eastAsia="宋体" w:cs="宋体"/>
                <w:color w:val="000000"/>
                <w:kern w:val="0"/>
                <w:szCs w:val="21"/>
                <w:lang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widowControl/>
              <w:spacing w:line="560" w:lineRule="exact"/>
              <w:jc w:val="left"/>
              <w:rPr>
                <w:szCs w:val="21"/>
              </w:rPr>
            </w:pPr>
            <w:r>
              <w:rPr>
                <w:rFonts w:hint="eastAsia" w:ascii="宋体" w:hAnsi="宋体" w:eastAsia="宋体" w:cs="宋体"/>
                <w:color w:val="000000"/>
                <w:kern w:val="0"/>
                <w:szCs w:val="21"/>
                <w:lang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60" w:lineRule="exact"/>
              <w:jc w:val="left"/>
              <w:rPr>
                <w:szCs w:val="21"/>
              </w:rPr>
            </w:pPr>
            <w:r>
              <w:rPr>
                <w:rFonts w:ascii="Calibri" w:hAnsi="Calibri" w:eastAsia="宋体" w:cs="Calibri"/>
                <w:color w:val="333333"/>
                <w:szCs w:val="21"/>
                <w:lang w:bidi="ar"/>
              </w:rPr>
              <w:t> </w:t>
            </w:r>
            <w:r>
              <w:rPr>
                <w:rFonts w:hint="eastAsia" w:ascii="Calibri" w:hAnsi="Calibri" w:eastAsia="宋体" w:cs="Calibri"/>
                <w:color w:val="333333"/>
                <w:szCs w:val="21"/>
                <w:lang w:bidi="ar"/>
              </w:rPr>
              <w:t>0</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60" w:lineRule="exact"/>
              <w:jc w:val="left"/>
              <w:rPr>
                <w:szCs w:val="21"/>
              </w:rPr>
            </w:pPr>
            <w:r>
              <w:rPr>
                <w:rFonts w:hint="eastAsia" w:ascii="宋体" w:hAnsi="宋体" w:eastAsia="宋体" w:cs="宋体"/>
                <w:color w:val="000000"/>
                <w:kern w:val="0"/>
                <w:szCs w:val="21"/>
                <w:lang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60" w:lineRule="exact"/>
              <w:jc w:val="left"/>
              <w:rPr>
                <w:szCs w:val="21"/>
              </w:rPr>
            </w:pPr>
            <w:r>
              <w:rPr>
                <w:rFonts w:hint="eastAsia" w:ascii="宋体" w:hAnsi="宋体" w:eastAsia="宋体" w:cs="宋体"/>
                <w:color w:val="000000"/>
                <w:kern w:val="0"/>
                <w:szCs w:val="21"/>
                <w:lang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widowControl/>
              <w:spacing w:line="560" w:lineRule="exact"/>
              <w:jc w:val="left"/>
              <w:rPr>
                <w:szCs w:val="21"/>
              </w:rPr>
            </w:pPr>
            <w:r>
              <w:rPr>
                <w:rFonts w:hint="eastAsia" w:ascii="宋体" w:hAnsi="宋体" w:eastAsia="宋体" w:cs="宋体"/>
                <w:color w:val="000000"/>
                <w:kern w:val="0"/>
                <w:szCs w:val="21"/>
                <w:lang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60" w:lineRule="exact"/>
              <w:jc w:val="left"/>
              <w:rPr>
                <w:szCs w:val="21"/>
              </w:rPr>
            </w:pPr>
            <w:r>
              <w:rPr>
                <w:rFonts w:ascii="Calibri" w:hAnsi="Calibri" w:eastAsia="宋体" w:cs="Calibri"/>
                <w:color w:val="333333"/>
                <w:szCs w:val="21"/>
                <w:lang w:bidi="ar"/>
              </w:rPr>
              <w:t> </w:t>
            </w:r>
            <w:r>
              <w:rPr>
                <w:rFonts w:hint="eastAsia" w:ascii="Calibri" w:hAnsi="Calibri" w:eastAsia="宋体" w:cs="Calibri"/>
                <w:color w:val="333333"/>
                <w:szCs w:val="21"/>
                <w:lang w:bidi="ar"/>
              </w:rPr>
              <w:t>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60" w:lineRule="exact"/>
              <w:jc w:val="center"/>
              <w:rPr>
                <w:szCs w:val="21"/>
              </w:rPr>
            </w:pPr>
            <w:r>
              <w:rPr>
                <w:rFonts w:hint="eastAsia" w:ascii="宋体" w:hAnsi="宋体" w:eastAsia="宋体" w:cs="宋体"/>
                <w:color w:val="000000"/>
                <w:kern w:val="0"/>
                <w:szCs w:val="21"/>
                <w:lang w:bidi="ar"/>
              </w:rPr>
              <w:t>第二十条第（五）项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widowControl/>
              <w:spacing w:line="560" w:lineRule="exact"/>
              <w:jc w:val="center"/>
              <w:rPr>
                <w:szCs w:val="21"/>
              </w:rPr>
            </w:pPr>
            <w:r>
              <w:rPr>
                <w:rFonts w:hint="eastAsia" w:ascii="宋体" w:hAnsi="宋体" w:eastAsia="宋体" w:cs="宋体"/>
                <w:color w:val="000000"/>
                <w:kern w:val="0"/>
                <w:szCs w:val="21"/>
                <w:lang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60" w:lineRule="exact"/>
              <w:jc w:val="center"/>
              <w:rPr>
                <w:szCs w:val="21"/>
              </w:rPr>
            </w:pPr>
            <w:r>
              <w:rPr>
                <w:rFonts w:hint="eastAsia" w:ascii="宋体" w:hAnsi="宋体" w:eastAsia="宋体" w:cs="宋体"/>
                <w:color w:val="000000"/>
                <w:kern w:val="0"/>
                <w:szCs w:val="21"/>
                <w:lang w:bidi="ar"/>
              </w:rPr>
              <w:t>本年处理决定数量</w:t>
            </w:r>
          </w:p>
        </w:tc>
      </w:tr>
      <w:tr>
        <w:tblPrEx>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widowControl/>
              <w:spacing w:line="560" w:lineRule="exact"/>
              <w:jc w:val="left"/>
              <w:rPr>
                <w:szCs w:val="21"/>
              </w:rPr>
            </w:pPr>
            <w:r>
              <w:rPr>
                <w:rFonts w:hint="eastAsia" w:ascii="宋体" w:hAnsi="宋体" w:eastAsia="宋体" w:cs="宋体"/>
                <w:color w:val="000000"/>
                <w:kern w:val="0"/>
                <w:szCs w:val="21"/>
                <w:lang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560" w:lineRule="exact"/>
              <w:jc w:val="center"/>
              <w:rPr>
                <w:szCs w:val="21"/>
              </w:rPr>
            </w:pPr>
            <w:r>
              <w:rPr>
                <w:rFonts w:hint="eastAsia"/>
                <w:szCs w:val="21"/>
              </w:rPr>
              <w:t>56</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60" w:lineRule="exact"/>
              <w:jc w:val="center"/>
              <w:rPr>
                <w:szCs w:val="21"/>
              </w:rPr>
            </w:pPr>
            <w:r>
              <w:rPr>
                <w:rFonts w:hint="eastAsia" w:ascii="宋体" w:hAnsi="宋体" w:eastAsia="宋体" w:cs="宋体"/>
                <w:color w:val="000000"/>
                <w:kern w:val="0"/>
                <w:szCs w:val="21"/>
                <w:lang w:bidi="ar"/>
              </w:rPr>
              <w:t>第二十条第（六）项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60" w:lineRule="exact"/>
              <w:jc w:val="center"/>
              <w:rPr>
                <w:szCs w:val="21"/>
              </w:rPr>
            </w:pPr>
            <w:r>
              <w:rPr>
                <w:rFonts w:hint="eastAsia" w:ascii="宋体" w:hAnsi="宋体" w:eastAsia="宋体" w:cs="宋体"/>
                <w:color w:val="000000"/>
                <w:kern w:val="0"/>
                <w:szCs w:val="21"/>
                <w:lang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560" w:lineRule="exact"/>
              <w:jc w:val="center"/>
              <w:rPr>
                <w:szCs w:val="21"/>
              </w:rPr>
            </w:pPr>
            <w:r>
              <w:rPr>
                <w:rFonts w:hint="eastAsia" w:ascii="宋体" w:hAnsi="宋体" w:eastAsia="宋体" w:cs="宋体"/>
                <w:color w:val="000000"/>
                <w:kern w:val="0"/>
                <w:szCs w:val="21"/>
                <w:lang w:bidi="ar"/>
              </w:rPr>
              <w:t>本年处理决定数量</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60" w:lineRule="exact"/>
              <w:jc w:val="left"/>
              <w:rPr>
                <w:szCs w:val="21"/>
              </w:rPr>
            </w:pPr>
            <w:r>
              <w:rPr>
                <w:rFonts w:hint="eastAsia" w:ascii="宋体" w:hAnsi="宋体" w:eastAsia="宋体" w:cs="宋体"/>
                <w:color w:val="000000"/>
                <w:kern w:val="0"/>
                <w:szCs w:val="21"/>
                <w:lang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60" w:lineRule="exact"/>
              <w:jc w:val="center"/>
              <w:rPr>
                <w:szCs w:val="21"/>
              </w:rPr>
            </w:pPr>
            <w:r>
              <w:rPr>
                <w:rFonts w:hint="eastAsia" w:ascii="宋体" w:hAnsi="宋体" w:eastAsia="宋体" w:cs="宋体"/>
                <w:color w:val="000000"/>
                <w:kern w:val="0"/>
                <w:szCs w:val="21"/>
                <w:lang w:bidi="ar"/>
              </w:rPr>
              <w:t>0</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60" w:lineRule="exact"/>
              <w:jc w:val="left"/>
              <w:rPr>
                <w:szCs w:val="21"/>
              </w:rPr>
            </w:pPr>
            <w:r>
              <w:rPr>
                <w:rFonts w:hint="eastAsia" w:ascii="宋体" w:hAnsi="宋体" w:eastAsia="宋体" w:cs="宋体"/>
                <w:color w:val="000000"/>
                <w:kern w:val="0"/>
                <w:szCs w:val="21"/>
                <w:lang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560" w:lineRule="exact"/>
              <w:jc w:val="center"/>
              <w:rPr>
                <w:szCs w:val="21"/>
              </w:rPr>
            </w:pPr>
            <w:r>
              <w:rPr>
                <w:rFonts w:hint="eastAsia" w:ascii="宋体" w:hAnsi="宋体" w:eastAsia="宋体" w:cs="宋体"/>
                <w:color w:val="000000"/>
                <w:kern w:val="0"/>
                <w:szCs w:val="21"/>
                <w:lang w:bidi="ar"/>
              </w:rPr>
              <w:t>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560" w:lineRule="exact"/>
              <w:jc w:val="center"/>
              <w:rPr>
                <w:szCs w:val="21"/>
              </w:rPr>
            </w:pPr>
            <w:r>
              <w:rPr>
                <w:rFonts w:hint="eastAsia" w:ascii="宋体" w:hAnsi="宋体" w:eastAsia="宋体" w:cs="宋体"/>
                <w:color w:val="000000"/>
                <w:kern w:val="0"/>
                <w:szCs w:val="21"/>
                <w:lang w:bidi="ar"/>
              </w:rPr>
              <w:t>第二十条第（八）项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60" w:lineRule="exact"/>
              <w:jc w:val="center"/>
              <w:rPr>
                <w:szCs w:val="21"/>
              </w:rPr>
            </w:pPr>
            <w:r>
              <w:rPr>
                <w:rFonts w:hint="eastAsia" w:ascii="宋体" w:hAnsi="宋体" w:eastAsia="宋体" w:cs="宋体"/>
                <w:color w:val="000000"/>
                <w:kern w:val="0"/>
                <w:szCs w:val="21"/>
                <w:lang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spacing w:line="560" w:lineRule="exact"/>
              <w:jc w:val="center"/>
              <w:rPr>
                <w:szCs w:val="21"/>
              </w:rPr>
            </w:pPr>
            <w:r>
              <w:rPr>
                <w:rFonts w:hint="eastAsia" w:ascii="宋体" w:hAnsi="宋体" w:eastAsia="宋体" w:cs="宋体"/>
                <w:color w:val="000000"/>
                <w:kern w:val="0"/>
                <w:szCs w:val="21"/>
                <w:lang w:bidi="ar"/>
              </w:rPr>
              <w:t>本年收费金额（单位：万元）</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560" w:lineRule="exact"/>
              <w:jc w:val="left"/>
              <w:rPr>
                <w:szCs w:val="21"/>
              </w:rPr>
            </w:pPr>
            <w:r>
              <w:rPr>
                <w:rFonts w:hint="eastAsia" w:ascii="宋体" w:hAnsi="宋体" w:eastAsia="宋体" w:cs="宋体"/>
                <w:color w:val="000000"/>
                <w:kern w:val="0"/>
                <w:szCs w:val="21"/>
                <w:lang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spacing w:line="560" w:lineRule="exact"/>
              <w:jc w:val="center"/>
              <w:rPr>
                <w:rFonts w:ascii="宋体" w:hAnsi="宋体" w:eastAsia="宋体" w:cs="宋体"/>
                <w:color w:val="333333"/>
                <w:szCs w:val="21"/>
              </w:rPr>
            </w:pPr>
            <w:r>
              <w:rPr>
                <w:rFonts w:hint="eastAsia" w:ascii="宋体" w:hAnsi="宋体" w:eastAsia="宋体" w:cs="宋体"/>
                <w:color w:val="333333"/>
                <w:szCs w:val="21"/>
              </w:rPr>
              <w:t>0</w:t>
            </w:r>
          </w:p>
        </w:tc>
      </w:tr>
    </w:tbl>
    <w:p>
      <w:pPr>
        <w:pStyle w:val="4"/>
        <w:widowControl/>
        <w:spacing w:line="560" w:lineRule="exact"/>
        <w:jc w:val="both"/>
        <w:rPr>
          <w:rFonts w:ascii="黑体" w:hAnsi="黑体" w:eastAsia="黑体" w:cs="黑体"/>
          <w:color w:val="333333"/>
          <w:sz w:val="32"/>
          <w:szCs w:val="32"/>
        </w:rPr>
      </w:pPr>
    </w:p>
    <w:p>
      <w:pPr>
        <w:pStyle w:val="4"/>
        <w:widowControl/>
        <w:spacing w:line="560" w:lineRule="exact"/>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三、收到和处理政府信息公开申请情况</w:t>
      </w:r>
    </w:p>
    <w:p>
      <w:pPr>
        <w:pStyle w:val="4"/>
        <w:widowControl/>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2022年武汉市自然资源和规划局硚口分局全年共办理政府信息公开申请101件，其中予以公开27件，部分公开2件，本机关不掌握相关政府信息72件。</w:t>
      </w:r>
    </w:p>
    <w:tbl>
      <w:tblPr>
        <w:tblStyle w:val="5"/>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57" w:type="dxa"/>
          <w:bottom w:w="0" w:type="dxa"/>
          <w:right w:w="57" w:type="dxa"/>
        </w:tblCellMar>
      </w:tblPr>
      <w:tblGrid>
        <w:gridCol w:w="708"/>
        <w:gridCol w:w="864"/>
        <w:gridCol w:w="3083"/>
        <w:gridCol w:w="644"/>
        <w:gridCol w:w="644"/>
        <w:gridCol w:w="644"/>
        <w:gridCol w:w="644"/>
        <w:gridCol w:w="645"/>
        <w:gridCol w:w="665"/>
        <w:gridCol w:w="63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widowControl/>
              <w:spacing w:line="560" w:lineRule="exact"/>
              <w:jc w:val="left"/>
            </w:pPr>
            <w:r>
              <w:rPr>
                <w:rFonts w:hint="eastAsia" w:ascii="楷体" w:hAnsi="楷体" w:eastAsia="楷体" w:cs="楷体"/>
                <w:color w:val="333333"/>
                <w:kern w:val="0"/>
                <w:sz w:val="20"/>
                <w:szCs w:val="20"/>
                <w:lang w:bidi="ar"/>
              </w:rPr>
              <w:t>（本列数据的勾稽关系为：第一项加第二项之和，等于第三项加第四项之和）</w:t>
            </w:r>
          </w:p>
        </w:tc>
        <w:tc>
          <w:tcPr>
            <w:tcW w:w="2464" w:type="pct"/>
            <w:gridSpan w:val="7"/>
            <w:tcBorders>
              <w:top w:val="single" w:color="auto" w:sz="8" w:space="0"/>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color w:val="333333"/>
                <w:kern w:val="0"/>
                <w:szCs w:val="21"/>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spacing w:line="560" w:lineRule="exact"/>
              <w:jc w:val="left"/>
              <w:rPr>
                <w:rFonts w:ascii="宋体" w:hAnsi="宋体" w:eastAsia="宋体" w:cs="宋体"/>
                <w:color w:val="333333"/>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color w:val="333333"/>
                <w:kern w:val="0"/>
                <w:szCs w:val="21"/>
                <w:lang w:bidi="ar"/>
              </w:rPr>
              <w:t>自然人</w:t>
            </w:r>
          </w:p>
        </w:tc>
        <w:tc>
          <w:tcPr>
            <w:tcW w:w="1766" w:type="pct"/>
            <w:gridSpan w:val="5"/>
            <w:tcBorders>
              <w:top w:val="single" w:color="auto" w:sz="8" w:space="0"/>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color w:val="333333"/>
                <w:kern w:val="0"/>
                <w:szCs w:val="21"/>
                <w:lang w:bidi="ar"/>
              </w:rPr>
              <w:t>法人或其他组织</w:t>
            </w:r>
          </w:p>
        </w:tc>
        <w:tc>
          <w:tcPr>
            <w:tcW w:w="347" w:type="pct"/>
            <w:vMerge w:val="restart"/>
            <w:tcBorders>
              <w:top w:val="single" w:color="auto" w:sz="8" w:space="0"/>
              <w:left w:val="nil"/>
              <w:bottom w:val="outset" w:color="auto" w:sz="6"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color w:val="333333"/>
                <w:kern w:val="0"/>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spacing w:line="560" w:lineRule="exact"/>
              <w:jc w:val="left"/>
              <w:rPr>
                <w:rFonts w:ascii="宋体" w:hAnsi="宋体" w:eastAsia="宋体" w:cs="宋体"/>
                <w:color w:val="333333"/>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spacing w:line="560" w:lineRule="exact"/>
              <w:jc w:val="left"/>
              <w:rPr>
                <w:rFonts w:ascii="宋体" w:hAnsi="宋体" w:eastAsia="宋体" w:cs="宋体"/>
                <w:color w:val="333333"/>
                <w:szCs w:val="21"/>
              </w:rPr>
            </w:pPr>
          </w:p>
        </w:tc>
        <w:tc>
          <w:tcPr>
            <w:tcW w:w="351" w:type="pct"/>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color w:val="333333"/>
                <w:kern w:val="0"/>
                <w:szCs w:val="21"/>
                <w:lang w:bidi="ar"/>
              </w:rPr>
              <w:t>商业</w:t>
            </w:r>
          </w:p>
          <w:p>
            <w:pPr>
              <w:widowControl/>
              <w:spacing w:line="560" w:lineRule="exact"/>
              <w:jc w:val="center"/>
              <w:rPr>
                <w:rFonts w:ascii="宋体" w:hAnsi="宋体" w:eastAsia="宋体" w:cs="宋体"/>
                <w:szCs w:val="21"/>
              </w:rPr>
            </w:pPr>
            <w:r>
              <w:rPr>
                <w:rFonts w:hint="eastAsia" w:ascii="宋体" w:hAnsi="宋体" w:eastAsia="宋体" w:cs="宋体"/>
                <w:color w:val="333333"/>
                <w:kern w:val="0"/>
                <w:szCs w:val="21"/>
                <w:lang w:bidi="ar"/>
              </w:rPr>
              <w:t>企业</w:t>
            </w:r>
          </w:p>
        </w:tc>
        <w:tc>
          <w:tcPr>
            <w:tcW w:w="351" w:type="pct"/>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color w:val="333333"/>
                <w:kern w:val="0"/>
                <w:szCs w:val="21"/>
                <w:lang w:bidi="ar"/>
              </w:rPr>
              <w:t>科研</w:t>
            </w:r>
          </w:p>
          <w:p>
            <w:pPr>
              <w:widowControl/>
              <w:spacing w:line="560" w:lineRule="exact"/>
              <w:jc w:val="center"/>
              <w:rPr>
                <w:rFonts w:ascii="宋体" w:hAnsi="宋体" w:eastAsia="宋体" w:cs="宋体"/>
                <w:szCs w:val="21"/>
              </w:rPr>
            </w:pPr>
            <w:r>
              <w:rPr>
                <w:rFonts w:hint="eastAsia" w:ascii="宋体" w:hAnsi="宋体" w:eastAsia="宋体" w:cs="宋体"/>
                <w:color w:val="333333"/>
                <w:kern w:val="0"/>
                <w:szCs w:val="21"/>
                <w:lang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color w:val="333333"/>
                <w:kern w:val="0"/>
                <w:szCs w:val="21"/>
                <w:lang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color w:val="333333"/>
                <w:kern w:val="0"/>
                <w:szCs w:val="21"/>
                <w:lang w:bidi="ar"/>
              </w:rPr>
              <w:t>法律服务机构</w:t>
            </w:r>
          </w:p>
        </w:tc>
        <w:tc>
          <w:tcPr>
            <w:tcW w:w="361" w:type="pct"/>
            <w:tcBorders>
              <w:top w:val="single" w:color="auto" w:sz="8" w:space="0"/>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color w:val="333333"/>
                <w:kern w:val="0"/>
                <w:szCs w:val="21"/>
                <w:lang w:bidi="ar"/>
              </w:rPr>
              <w:t>其他</w:t>
            </w:r>
          </w:p>
        </w:tc>
        <w:tc>
          <w:tcPr>
            <w:tcW w:w="347" w:type="pct"/>
            <w:vMerge w:val="continue"/>
            <w:tcBorders>
              <w:top w:val="single" w:color="auto" w:sz="8" w:space="0"/>
              <w:left w:val="nil"/>
              <w:bottom w:val="outset" w:color="auto" w:sz="6" w:space="0"/>
              <w:right w:val="single" w:color="auto" w:sz="8" w:space="0"/>
            </w:tcBorders>
            <w:shd w:val="clear" w:color="auto" w:fill="auto"/>
            <w:vAlign w:val="center"/>
          </w:tcPr>
          <w:p>
            <w:pPr>
              <w:spacing w:line="560" w:lineRule="exact"/>
              <w:jc w:val="left"/>
              <w:rPr>
                <w:rFonts w:ascii="宋体" w:hAnsi="宋体" w:eastAsia="宋体" w:cs="宋体"/>
                <w:color w:val="333333"/>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szCs w:val="21"/>
              </w:rPr>
              <w:t>101</w:t>
            </w:r>
          </w:p>
        </w:tc>
        <w:tc>
          <w:tcPr>
            <w:tcW w:w="351" w:type="pct"/>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szCs w:val="21"/>
              </w:rPr>
              <w:t>101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三、本年度办理结果</w:t>
            </w:r>
          </w:p>
        </w:tc>
        <w:tc>
          <w:tcPr>
            <w:tcW w:w="2150" w:type="pct"/>
            <w:gridSpan w:val="2"/>
            <w:tcBorders>
              <w:top w:val="nil"/>
              <w:left w:val="nil"/>
              <w:bottom w:val="single" w:color="auto" w:sz="8" w:space="0"/>
              <w:right w:val="single" w:color="auto" w:sz="8" w:space="0"/>
            </w:tcBorders>
            <w:shd w:val="clear" w:color="auto" w:fill="auto"/>
            <w:vAlign w:val="center"/>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（一）予以公开</w:t>
            </w:r>
          </w:p>
        </w:tc>
        <w:tc>
          <w:tcPr>
            <w:tcW w:w="351" w:type="pct"/>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color w:val="333333"/>
                <w:kern w:val="0"/>
                <w:szCs w:val="21"/>
                <w:lang w:bidi="ar"/>
              </w:rPr>
              <w:t>27</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single" w:color="auto" w:sz="8" w:space="0"/>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color w:val="333333"/>
                <w:kern w:val="0"/>
                <w:szCs w:val="21"/>
                <w:lang w:bidi="ar"/>
              </w:rPr>
              <w:t>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2150" w:type="pct"/>
            <w:gridSpan w:val="2"/>
            <w:tcBorders>
              <w:top w:val="nil"/>
              <w:left w:val="nil"/>
              <w:bottom w:val="single" w:color="auto" w:sz="8" w:space="0"/>
              <w:right w:val="single" w:color="auto" w:sz="8" w:space="0"/>
            </w:tcBorders>
            <w:shd w:val="clear" w:color="auto" w:fill="auto"/>
            <w:vAlign w:val="center"/>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szCs w:val="21"/>
              </w:rPr>
              <w:t>2</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szCs w:val="21"/>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（三）不予公开</w:t>
            </w:r>
          </w:p>
        </w:tc>
        <w:tc>
          <w:tcPr>
            <w:tcW w:w="1680" w:type="pct"/>
            <w:tcBorders>
              <w:top w:val="nil"/>
              <w:left w:val="nil"/>
              <w:bottom w:val="single" w:color="auto" w:sz="8" w:space="0"/>
              <w:right w:val="single" w:color="auto" w:sz="8" w:space="0"/>
            </w:tcBorders>
            <w:shd w:val="clear" w:color="auto" w:fill="auto"/>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1.属于国家秘密</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2.其他法律行政法规禁止公开</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3.危及“三安全一稳定”</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4.保护第三方合法权益</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5.属于三类内部事务信息</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6.属于四类过程性信息</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7.属于行政执法案卷</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8.属于行政查询事项</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（四）无法提供</w:t>
            </w:r>
          </w:p>
        </w:tc>
        <w:tc>
          <w:tcPr>
            <w:tcW w:w="1680" w:type="pct"/>
            <w:tcBorders>
              <w:top w:val="nil"/>
              <w:left w:val="nil"/>
              <w:bottom w:val="single" w:color="auto" w:sz="8" w:space="0"/>
              <w:right w:val="single" w:color="auto" w:sz="8" w:space="0"/>
            </w:tcBorders>
            <w:shd w:val="clear" w:color="auto" w:fill="auto"/>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1.本机关不掌握相关政府信息</w:t>
            </w:r>
          </w:p>
        </w:tc>
        <w:tc>
          <w:tcPr>
            <w:tcW w:w="351" w:type="pct"/>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szCs w:val="21"/>
              </w:rPr>
              <w:t>72</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szCs w:val="21"/>
              </w:rPr>
              <w:t>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2.没有现成信息需要另行制作</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3.补正后申请内容仍不明确</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（五）不予处理</w:t>
            </w:r>
          </w:p>
        </w:tc>
        <w:tc>
          <w:tcPr>
            <w:tcW w:w="1680" w:type="pct"/>
            <w:tcBorders>
              <w:top w:val="nil"/>
              <w:left w:val="nil"/>
              <w:bottom w:val="single" w:color="auto" w:sz="8" w:space="0"/>
              <w:right w:val="single" w:color="auto" w:sz="8" w:space="0"/>
            </w:tcBorders>
            <w:shd w:val="clear" w:color="auto" w:fill="auto"/>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1.信访举报投诉类申请</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1680" w:type="pct"/>
            <w:tcBorders>
              <w:top w:val="single" w:color="auto" w:sz="8" w:space="0"/>
              <w:left w:val="nil"/>
              <w:bottom w:val="single" w:color="auto" w:sz="8" w:space="0"/>
              <w:right w:val="single" w:color="auto" w:sz="8" w:space="0"/>
            </w:tcBorders>
            <w:shd w:val="clear" w:color="auto" w:fill="auto"/>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1680" w:type="pct"/>
            <w:tcBorders>
              <w:top w:val="single" w:color="auto" w:sz="8" w:space="0"/>
              <w:left w:val="nil"/>
              <w:bottom w:val="single" w:color="auto" w:sz="8" w:space="0"/>
              <w:right w:val="single" w:color="auto" w:sz="8" w:space="0"/>
            </w:tcBorders>
            <w:shd w:val="clear" w:color="auto" w:fill="auto"/>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1680" w:type="pct"/>
            <w:tcBorders>
              <w:top w:val="single" w:color="auto" w:sz="8" w:space="0"/>
              <w:left w:val="nil"/>
              <w:bottom w:val="single" w:color="auto" w:sz="8" w:space="0"/>
              <w:right w:val="single" w:color="auto" w:sz="8" w:space="0"/>
            </w:tcBorders>
            <w:shd w:val="clear" w:color="auto" w:fill="auto"/>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single" w:color="auto" w:sz="8" w:space="0"/>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1680" w:type="pct"/>
            <w:tcBorders>
              <w:top w:val="nil"/>
              <w:left w:val="nil"/>
              <w:bottom w:val="outset" w:color="auto" w:sz="6" w:space="0"/>
              <w:right w:val="single" w:color="auto" w:sz="8" w:space="0"/>
            </w:tcBorders>
            <w:shd w:val="clear" w:color="auto" w:fill="auto"/>
            <w:vAlign w:val="center"/>
          </w:tcPr>
          <w:p>
            <w:pPr>
              <w:widowControl/>
              <w:spacing w:line="560" w:lineRule="exact"/>
              <w:rPr>
                <w:rFonts w:asciiTheme="minorEastAsia" w:hAnsiTheme="minorEastAsia" w:cstheme="minorEastAsia"/>
                <w:szCs w:val="21"/>
              </w:rPr>
            </w:pPr>
            <w:r>
              <w:rPr>
                <w:rFonts w:hint="eastAsia" w:asciiTheme="minorEastAsia" w:hAnsiTheme="minorEastAsia" w:cstheme="minorEastAsia"/>
                <w:color w:val="333333"/>
                <w:kern w:val="0"/>
                <w:szCs w:val="21"/>
                <w:lang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outset" w:color="auto" w:sz="6"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outset" w:color="auto" w:sz="6"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outset" w:color="auto" w:sz="6"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outset" w:color="auto" w:sz="6"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outset" w:color="auto" w:sz="6"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nil"/>
              <w:left w:val="nil"/>
              <w:bottom w:val="outset" w:color="auto" w:sz="6"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471" w:type="pct"/>
            <w:vMerge w:val="restart"/>
            <w:tcBorders>
              <w:top w:val="outset" w:color="auto" w:sz="6" w:space="0"/>
              <w:left w:val="nil"/>
              <w:bottom w:val="outset" w:color="auto" w:sz="6" w:space="0"/>
              <w:right w:val="single" w:color="auto" w:sz="8" w:space="0"/>
            </w:tcBorders>
            <w:shd w:val="clear" w:color="auto" w:fill="auto"/>
            <w:vAlign w:val="center"/>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（六）其他处理</w:t>
            </w:r>
          </w:p>
        </w:tc>
        <w:tc>
          <w:tcPr>
            <w:tcW w:w="1680" w:type="pct"/>
            <w:tcBorders>
              <w:top w:val="nil"/>
              <w:left w:val="nil"/>
              <w:bottom w:val="single" w:color="auto" w:sz="8" w:space="0"/>
              <w:right w:val="single" w:color="auto" w:sz="8" w:space="0"/>
            </w:tcBorders>
            <w:shd w:val="clear" w:color="auto" w:fill="auto"/>
            <w:vAlign w:val="center"/>
          </w:tcPr>
          <w:p>
            <w:pPr>
              <w:widowControl/>
              <w:spacing w:line="560" w:lineRule="exact"/>
              <w:rPr>
                <w:rFonts w:asciiTheme="minorEastAsia" w:hAnsiTheme="minorEastAsia" w:cstheme="minorEastAsia"/>
                <w:szCs w:val="21"/>
              </w:rPr>
            </w:pPr>
            <w:r>
              <w:rPr>
                <w:rFonts w:hint="eastAsia" w:asciiTheme="minorEastAsia" w:hAnsiTheme="minorEastAsia" w:cstheme="minorEastAsia"/>
                <w:color w:val="333333"/>
                <w:kern w:val="0"/>
                <w:szCs w:val="21"/>
                <w:lang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vAlign w:val="center"/>
          </w:tcPr>
          <w:p>
            <w:pPr>
              <w:widowControl/>
              <w:spacing w:line="560" w:lineRule="exact"/>
              <w:rPr>
                <w:rFonts w:asciiTheme="minorEastAsia" w:hAnsiTheme="minorEastAsia" w:cstheme="minorEastAsia"/>
                <w:szCs w:val="21"/>
              </w:rPr>
            </w:pPr>
            <w:r>
              <w:rPr>
                <w:rFonts w:hint="eastAsia" w:asciiTheme="minorEastAsia" w:hAnsiTheme="minorEastAsia" w:cstheme="minorEastAsia"/>
                <w:color w:val="333333"/>
                <w:kern w:val="0"/>
                <w:szCs w:val="21"/>
                <w:lang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vAlign w:val="center"/>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3.其他</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spacing w:line="560" w:lineRule="exact"/>
              <w:jc w:val="left"/>
              <w:rPr>
                <w:rFonts w:asciiTheme="minorEastAsia" w:hAnsiTheme="minorEastAsia" w:cstheme="minorEastAsia"/>
                <w:color w:val="333333"/>
                <w:szCs w:val="21"/>
              </w:rPr>
            </w:pPr>
          </w:p>
        </w:tc>
        <w:tc>
          <w:tcPr>
            <w:tcW w:w="2150" w:type="pct"/>
            <w:gridSpan w:val="2"/>
            <w:tcBorders>
              <w:top w:val="nil"/>
              <w:left w:val="nil"/>
              <w:bottom w:val="single" w:color="auto" w:sz="8" w:space="0"/>
              <w:right w:val="single" w:color="auto" w:sz="8" w:space="0"/>
            </w:tcBorders>
            <w:shd w:val="clear" w:color="auto" w:fill="auto"/>
            <w:vAlign w:val="center"/>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（七）总计</w:t>
            </w:r>
          </w:p>
        </w:tc>
        <w:tc>
          <w:tcPr>
            <w:tcW w:w="351" w:type="pct"/>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szCs w:val="21"/>
              </w:rPr>
              <w:t>101</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szCs w:val="21"/>
              </w:rPr>
              <w:t>101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left"/>
              <w:rPr>
                <w:rFonts w:asciiTheme="minorEastAsia" w:hAnsiTheme="minorEastAsia" w:cstheme="minorEastAsia"/>
                <w:szCs w:val="21"/>
              </w:rPr>
            </w:pPr>
            <w:r>
              <w:rPr>
                <w:rFonts w:hint="eastAsia" w:asciiTheme="minorEastAsia" w:hAnsiTheme="minorEastAsia" w:cstheme="minorEastAsia"/>
                <w:color w:val="333333"/>
                <w:kern w:val="0"/>
                <w:szCs w:val="21"/>
                <w:lang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r>
              <w:rPr>
                <w:rFonts w:hint="eastAsia" w:ascii="宋体" w:hAnsi="宋体" w:eastAsia="宋体" w:cs="宋体"/>
                <w:color w:val="333333"/>
                <w:kern w:val="0"/>
                <w:szCs w:val="21"/>
                <w:lang w:bidi="ar"/>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宋体" w:hAnsi="宋体" w:eastAsia="宋体" w:cs="宋体"/>
                <w:szCs w:val="21"/>
              </w:rPr>
            </w:pP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5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61"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c>
          <w:tcPr>
            <w:tcW w:w="347" w:type="pct"/>
            <w:tcBorders>
              <w:top w:val="nil"/>
              <w:left w:val="nil"/>
              <w:bottom w:val="single" w:color="auto" w:sz="8" w:space="0"/>
              <w:right w:val="single" w:color="auto" w:sz="8" w:space="0"/>
            </w:tcBorders>
            <w:shd w:val="clear" w:color="auto" w:fill="auto"/>
            <w:vAlign w:val="center"/>
          </w:tcPr>
          <w:p>
            <w:pPr>
              <w:spacing w:line="560" w:lineRule="exact"/>
              <w:jc w:val="center"/>
            </w:pPr>
            <w:r>
              <w:rPr>
                <w:rFonts w:hint="eastAsia" w:ascii="宋体" w:hAnsi="宋体" w:eastAsia="宋体" w:cs="宋体"/>
                <w:szCs w:val="21"/>
              </w:rPr>
              <w:t>0</w:t>
            </w:r>
          </w:p>
        </w:tc>
      </w:tr>
    </w:tbl>
    <w:p>
      <w:pPr>
        <w:widowControl/>
        <w:spacing w:line="560" w:lineRule="exact"/>
        <w:rPr>
          <w:rFonts w:ascii="宋体" w:hAnsi="宋体" w:eastAsia="宋体" w:cs="宋体"/>
          <w:color w:val="333333"/>
          <w:sz w:val="24"/>
        </w:rPr>
      </w:pPr>
    </w:p>
    <w:p>
      <w:pPr>
        <w:pStyle w:val="4"/>
        <w:widowControl/>
        <w:spacing w:line="560" w:lineRule="exact"/>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四、政府信息公开行政复议、行政诉讼情况</w:t>
      </w:r>
    </w:p>
    <w:p>
      <w:pPr>
        <w:pStyle w:val="4"/>
        <w:widowControl/>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2022年度，武汉市自然资源和规划局硚口分局有行政复议4起，未经复议直接起诉19起，复议后起诉2起。</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602"/>
        <w:gridCol w:w="605"/>
        <w:gridCol w:w="605"/>
        <w:gridCol w:w="618"/>
        <w:gridCol w:w="605"/>
        <w:gridCol w:w="605"/>
        <w:gridCol w:w="607"/>
        <w:gridCol w:w="668"/>
        <w:gridCol w:w="672"/>
        <w:gridCol w:w="607"/>
        <w:gridCol w:w="607"/>
        <w:gridCol w:w="607"/>
        <w:gridCol w:w="60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宋体" w:hAnsi="宋体" w:eastAsia="宋体" w:cs="宋体"/>
                <w:color w:val="333333"/>
                <w:kern w:val="0"/>
                <w:sz w:val="20"/>
                <w:szCs w:val="20"/>
                <w:lang w:bidi="ar"/>
              </w:rPr>
              <w:t>行政复议</w:t>
            </w:r>
          </w:p>
        </w:tc>
        <w:tc>
          <w:tcPr>
            <w:tcW w:w="3357"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宋体" w:hAnsi="宋体" w:eastAsia="宋体" w:cs="宋体"/>
                <w:color w:val="333333"/>
                <w:kern w:val="0"/>
                <w:sz w:val="20"/>
                <w:szCs w:val="20"/>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宋体" w:hAnsi="宋体" w:eastAsia="宋体" w:cs="宋体"/>
                <w:color w:val="333333"/>
                <w:kern w:val="0"/>
                <w:sz w:val="20"/>
                <w:szCs w:val="20"/>
                <w:lang w:bidi="ar"/>
              </w:rPr>
              <w:t>结果维持</w:t>
            </w:r>
          </w:p>
        </w:tc>
        <w:tc>
          <w:tcPr>
            <w:tcW w:w="326"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宋体" w:hAnsi="宋体" w:eastAsia="宋体" w:cs="宋体"/>
                <w:color w:val="333333"/>
                <w:kern w:val="0"/>
                <w:sz w:val="20"/>
                <w:szCs w:val="20"/>
                <w:lang w:bidi="ar"/>
              </w:rPr>
              <w:t>结果</w:t>
            </w:r>
            <w:r>
              <w:rPr>
                <w:rFonts w:hint="eastAsia" w:ascii="宋体" w:hAnsi="宋体" w:eastAsia="宋体" w:cs="宋体"/>
                <w:color w:val="333333"/>
                <w:kern w:val="0"/>
                <w:sz w:val="20"/>
                <w:szCs w:val="20"/>
                <w:lang w:bidi="ar"/>
              </w:rPr>
              <w:br w:type="textWrapping"/>
            </w:r>
            <w:r>
              <w:rPr>
                <w:rFonts w:hint="eastAsia" w:ascii="宋体" w:hAnsi="宋体" w:eastAsia="宋体" w:cs="宋体"/>
                <w:color w:val="333333"/>
                <w:kern w:val="0"/>
                <w:sz w:val="20"/>
                <w:szCs w:val="20"/>
                <w:lang w:bidi="ar"/>
              </w:rPr>
              <w:t>纠正</w:t>
            </w:r>
          </w:p>
        </w:tc>
        <w:tc>
          <w:tcPr>
            <w:tcW w:w="3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宋体" w:hAnsi="宋体" w:eastAsia="宋体" w:cs="宋体"/>
                <w:color w:val="333333"/>
                <w:kern w:val="0"/>
                <w:sz w:val="20"/>
                <w:szCs w:val="20"/>
                <w:lang w:bidi="ar"/>
              </w:rPr>
              <w:t>其他</w:t>
            </w:r>
            <w:r>
              <w:rPr>
                <w:rFonts w:hint="eastAsia" w:ascii="宋体" w:hAnsi="宋体" w:eastAsia="宋体" w:cs="宋体"/>
                <w:color w:val="333333"/>
                <w:kern w:val="0"/>
                <w:sz w:val="20"/>
                <w:szCs w:val="20"/>
                <w:lang w:bidi="ar"/>
              </w:rPr>
              <w:br w:type="textWrapping"/>
            </w:r>
            <w:r>
              <w:rPr>
                <w:rFonts w:hint="eastAsia" w:ascii="宋体" w:hAnsi="宋体" w:eastAsia="宋体" w:cs="宋体"/>
                <w:color w:val="333333"/>
                <w:kern w:val="0"/>
                <w:sz w:val="20"/>
                <w:szCs w:val="20"/>
                <w:lang w:bidi="ar"/>
              </w:rPr>
              <w:t>结果</w:t>
            </w:r>
          </w:p>
        </w:tc>
        <w:tc>
          <w:tcPr>
            <w:tcW w:w="3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宋体" w:hAnsi="宋体" w:eastAsia="宋体" w:cs="宋体"/>
                <w:color w:val="333333"/>
                <w:kern w:val="0"/>
                <w:sz w:val="20"/>
                <w:szCs w:val="20"/>
                <w:lang w:bidi="ar"/>
              </w:rPr>
              <w:t>尚未</w:t>
            </w:r>
            <w:r>
              <w:rPr>
                <w:rFonts w:hint="eastAsia" w:ascii="宋体" w:hAnsi="宋体" w:eastAsia="宋体" w:cs="宋体"/>
                <w:color w:val="333333"/>
                <w:kern w:val="0"/>
                <w:sz w:val="20"/>
                <w:szCs w:val="20"/>
                <w:lang w:bidi="ar"/>
              </w:rPr>
              <w:br w:type="textWrapping"/>
            </w:r>
            <w:r>
              <w:rPr>
                <w:rFonts w:hint="eastAsia" w:ascii="宋体" w:hAnsi="宋体" w:eastAsia="宋体" w:cs="宋体"/>
                <w:color w:val="333333"/>
                <w:kern w:val="0"/>
                <w:sz w:val="20"/>
                <w:szCs w:val="20"/>
                <w:lang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宋体" w:hAnsi="宋体" w:eastAsia="宋体" w:cs="宋体"/>
                <w:color w:val="333333"/>
                <w:kern w:val="0"/>
                <w:sz w:val="20"/>
                <w:szCs w:val="20"/>
                <w:lang w:bidi="ar"/>
              </w:rPr>
              <w:t>总计</w:t>
            </w:r>
          </w:p>
        </w:tc>
        <w:tc>
          <w:tcPr>
            <w:tcW w:w="171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宋体" w:hAnsi="宋体" w:eastAsia="宋体" w:cs="宋体"/>
                <w:color w:val="333333"/>
                <w:kern w:val="0"/>
                <w:sz w:val="20"/>
                <w:szCs w:val="20"/>
                <w:lang w:bidi="ar"/>
              </w:rPr>
              <w:t>未经复议直接起诉</w:t>
            </w:r>
          </w:p>
        </w:tc>
        <w:tc>
          <w:tcPr>
            <w:tcW w:w="164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宋体" w:hAnsi="宋体" w:eastAsia="宋体" w:cs="宋体"/>
                <w:color w:val="333333"/>
                <w:kern w:val="0"/>
                <w:sz w:val="20"/>
                <w:szCs w:val="20"/>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6" w:type="pct"/>
            <w:vMerge w:val="continue"/>
            <w:tcBorders>
              <w:top w:val="nil"/>
              <w:left w:val="single" w:color="auto" w:sz="4" w:space="0"/>
              <w:bottom w:val="single" w:color="auto" w:sz="4" w:space="0"/>
              <w:right w:val="single" w:color="auto" w:sz="4" w:space="0"/>
            </w:tcBorders>
            <w:shd w:val="clear" w:color="auto" w:fill="auto"/>
            <w:vAlign w:val="center"/>
          </w:tcPr>
          <w:p>
            <w:pPr>
              <w:spacing w:line="560" w:lineRule="exact"/>
              <w:jc w:val="left"/>
              <w:rPr>
                <w:rFonts w:ascii="宋体" w:hAnsi="宋体" w:eastAsia="宋体" w:cs="宋体"/>
                <w:color w:val="333333"/>
                <w:szCs w:val="21"/>
              </w:rPr>
            </w:pPr>
          </w:p>
        </w:tc>
        <w:tc>
          <w:tcPr>
            <w:tcW w:w="326" w:type="pct"/>
            <w:vMerge w:val="continue"/>
            <w:tcBorders>
              <w:top w:val="nil"/>
              <w:left w:val="single" w:color="auto" w:sz="4" w:space="0"/>
              <w:bottom w:val="single" w:color="auto" w:sz="4" w:space="0"/>
              <w:right w:val="single" w:color="auto" w:sz="4" w:space="0"/>
            </w:tcBorders>
            <w:shd w:val="clear" w:color="auto" w:fill="auto"/>
            <w:vAlign w:val="center"/>
          </w:tcPr>
          <w:p>
            <w:pPr>
              <w:spacing w:line="560" w:lineRule="exact"/>
              <w:jc w:val="left"/>
              <w:rPr>
                <w:rFonts w:ascii="宋体" w:hAnsi="宋体" w:eastAsia="宋体" w:cs="宋体"/>
                <w:color w:val="333333"/>
                <w:szCs w:val="21"/>
              </w:rPr>
            </w:pPr>
          </w:p>
        </w:tc>
        <w:tc>
          <w:tcPr>
            <w:tcW w:w="3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left"/>
              <w:rPr>
                <w:rFonts w:ascii="宋体" w:hAnsi="宋体" w:eastAsia="宋体" w:cs="宋体"/>
                <w:color w:val="333333"/>
                <w:szCs w:val="21"/>
              </w:rPr>
            </w:pPr>
          </w:p>
        </w:tc>
        <w:tc>
          <w:tcPr>
            <w:tcW w:w="3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left"/>
              <w:rPr>
                <w:rFonts w:ascii="宋体" w:hAnsi="宋体" w:eastAsia="宋体" w:cs="宋体"/>
                <w:color w:val="333333"/>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left"/>
              <w:rPr>
                <w:rFonts w:ascii="宋体" w:hAnsi="宋体" w:eastAsia="宋体" w:cs="宋体"/>
                <w:color w:val="333333"/>
                <w:szCs w:val="21"/>
              </w:rPr>
            </w:pP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宋体" w:hAnsi="宋体" w:eastAsia="宋体" w:cs="宋体"/>
                <w:color w:val="333333"/>
                <w:kern w:val="0"/>
                <w:sz w:val="20"/>
                <w:szCs w:val="20"/>
                <w:lang w:bidi="ar"/>
              </w:rPr>
              <w:t>结果</w:t>
            </w:r>
            <w:r>
              <w:rPr>
                <w:rFonts w:hint="eastAsia" w:ascii="宋体" w:hAnsi="宋体" w:eastAsia="宋体" w:cs="宋体"/>
                <w:color w:val="333333"/>
                <w:kern w:val="0"/>
                <w:sz w:val="20"/>
                <w:szCs w:val="20"/>
                <w:lang w:bidi="ar"/>
              </w:rPr>
              <w:br w:type="textWrapping"/>
            </w:r>
            <w:r>
              <w:rPr>
                <w:rFonts w:hint="eastAsia" w:ascii="宋体" w:hAnsi="宋体" w:eastAsia="宋体" w:cs="宋体"/>
                <w:color w:val="333333"/>
                <w:kern w:val="0"/>
                <w:sz w:val="20"/>
                <w:szCs w:val="20"/>
                <w:lang w:bidi="ar"/>
              </w:rPr>
              <w:t>维持</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宋体" w:hAnsi="宋体" w:eastAsia="宋体" w:cs="宋体"/>
                <w:color w:val="333333"/>
                <w:kern w:val="0"/>
                <w:sz w:val="20"/>
                <w:szCs w:val="20"/>
                <w:lang w:bidi="ar"/>
              </w:rPr>
              <w:t>结果</w:t>
            </w:r>
            <w:r>
              <w:rPr>
                <w:rFonts w:hint="eastAsia" w:ascii="宋体" w:hAnsi="宋体" w:eastAsia="宋体" w:cs="宋体"/>
                <w:color w:val="333333"/>
                <w:kern w:val="0"/>
                <w:sz w:val="20"/>
                <w:szCs w:val="20"/>
                <w:lang w:bidi="ar"/>
              </w:rPr>
              <w:br w:type="textWrapping"/>
            </w:r>
            <w:r>
              <w:rPr>
                <w:rFonts w:hint="eastAsia" w:ascii="宋体" w:hAnsi="宋体" w:eastAsia="宋体" w:cs="宋体"/>
                <w:color w:val="333333"/>
                <w:kern w:val="0"/>
                <w:sz w:val="20"/>
                <w:szCs w:val="20"/>
                <w:lang w:bidi="ar"/>
              </w:rPr>
              <w:t>纠正</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宋体" w:hAnsi="宋体" w:eastAsia="宋体" w:cs="宋体"/>
                <w:color w:val="333333"/>
                <w:kern w:val="0"/>
                <w:sz w:val="20"/>
                <w:szCs w:val="20"/>
                <w:lang w:bidi="ar"/>
              </w:rPr>
              <w:t>其他</w:t>
            </w:r>
            <w:r>
              <w:rPr>
                <w:rFonts w:hint="eastAsia" w:ascii="宋体" w:hAnsi="宋体" w:eastAsia="宋体" w:cs="宋体"/>
                <w:color w:val="333333"/>
                <w:kern w:val="0"/>
                <w:sz w:val="20"/>
                <w:szCs w:val="20"/>
                <w:lang w:bidi="ar"/>
              </w:rPr>
              <w:br w:type="textWrapping"/>
            </w:r>
            <w:r>
              <w:rPr>
                <w:rFonts w:hint="eastAsia" w:ascii="宋体" w:hAnsi="宋体" w:eastAsia="宋体" w:cs="宋体"/>
                <w:color w:val="333333"/>
                <w:kern w:val="0"/>
                <w:sz w:val="20"/>
                <w:szCs w:val="20"/>
                <w:lang w:bidi="ar"/>
              </w:rPr>
              <w:t>结果</w:t>
            </w:r>
          </w:p>
        </w:tc>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宋体" w:hAnsi="宋体" w:eastAsia="宋体" w:cs="宋体"/>
                <w:color w:val="333333"/>
                <w:kern w:val="0"/>
                <w:sz w:val="20"/>
                <w:szCs w:val="20"/>
                <w:lang w:bidi="ar"/>
              </w:rPr>
              <w:t>尚未</w:t>
            </w:r>
            <w:r>
              <w:rPr>
                <w:rFonts w:hint="eastAsia" w:ascii="宋体" w:hAnsi="宋体" w:eastAsia="宋体" w:cs="宋体"/>
                <w:color w:val="333333"/>
                <w:kern w:val="0"/>
                <w:sz w:val="20"/>
                <w:szCs w:val="20"/>
                <w:lang w:bidi="ar"/>
              </w:rPr>
              <w:br w:type="textWrapping"/>
            </w:r>
            <w:r>
              <w:rPr>
                <w:rFonts w:hint="eastAsia" w:ascii="宋体" w:hAnsi="宋体" w:eastAsia="宋体" w:cs="宋体"/>
                <w:color w:val="333333"/>
                <w:kern w:val="0"/>
                <w:sz w:val="20"/>
                <w:szCs w:val="20"/>
                <w:lang w:bidi="ar"/>
              </w:rPr>
              <w:t>审结</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宋体" w:hAnsi="宋体" w:eastAsia="宋体" w:cs="宋体"/>
                <w:color w:val="000000"/>
                <w:kern w:val="0"/>
                <w:sz w:val="20"/>
                <w:szCs w:val="20"/>
                <w:lang w:bidi="ar"/>
              </w:rPr>
              <w:t>总计</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宋体" w:hAnsi="宋体" w:eastAsia="宋体" w:cs="宋体"/>
                <w:color w:val="333333"/>
                <w:kern w:val="0"/>
                <w:sz w:val="20"/>
                <w:szCs w:val="20"/>
                <w:lang w:bidi="ar"/>
              </w:rPr>
              <w:t>结果</w:t>
            </w:r>
            <w:r>
              <w:rPr>
                <w:rFonts w:hint="eastAsia" w:ascii="宋体" w:hAnsi="宋体" w:eastAsia="宋体" w:cs="宋体"/>
                <w:color w:val="333333"/>
                <w:kern w:val="0"/>
                <w:sz w:val="20"/>
                <w:szCs w:val="20"/>
                <w:lang w:bidi="ar"/>
              </w:rPr>
              <w:br w:type="textWrapping"/>
            </w:r>
            <w:r>
              <w:rPr>
                <w:rFonts w:hint="eastAsia" w:ascii="宋体" w:hAnsi="宋体" w:eastAsia="宋体" w:cs="宋体"/>
                <w:color w:val="333333"/>
                <w:kern w:val="0"/>
                <w:sz w:val="20"/>
                <w:szCs w:val="20"/>
                <w:lang w:bidi="ar"/>
              </w:rPr>
              <w:t>维持</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宋体" w:hAnsi="宋体" w:eastAsia="宋体" w:cs="宋体"/>
                <w:color w:val="333333"/>
                <w:kern w:val="0"/>
                <w:sz w:val="20"/>
                <w:szCs w:val="20"/>
                <w:lang w:bidi="ar"/>
              </w:rPr>
              <w:t>结果</w:t>
            </w:r>
            <w:r>
              <w:rPr>
                <w:rFonts w:hint="eastAsia" w:ascii="宋体" w:hAnsi="宋体" w:eastAsia="宋体" w:cs="宋体"/>
                <w:color w:val="333333"/>
                <w:kern w:val="0"/>
                <w:sz w:val="20"/>
                <w:szCs w:val="20"/>
                <w:lang w:bidi="ar"/>
              </w:rPr>
              <w:br w:type="textWrapping"/>
            </w:r>
            <w:r>
              <w:rPr>
                <w:rFonts w:hint="eastAsia" w:ascii="宋体" w:hAnsi="宋体" w:eastAsia="宋体" w:cs="宋体"/>
                <w:color w:val="333333"/>
                <w:kern w:val="0"/>
                <w:sz w:val="20"/>
                <w:szCs w:val="20"/>
                <w:lang w:bidi="ar"/>
              </w:rPr>
              <w:t>纠正</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宋体" w:hAnsi="宋体" w:eastAsia="宋体" w:cs="宋体"/>
                <w:color w:val="000000"/>
                <w:kern w:val="0"/>
                <w:sz w:val="20"/>
                <w:szCs w:val="20"/>
                <w:lang w:bidi="ar"/>
              </w:rPr>
              <w:t>其他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结果</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宋体" w:hAnsi="宋体" w:eastAsia="宋体" w:cs="宋体"/>
                <w:color w:val="333333"/>
                <w:kern w:val="0"/>
                <w:sz w:val="20"/>
                <w:szCs w:val="20"/>
                <w:lang w:bidi="ar"/>
              </w:rPr>
              <w:t>尚未</w:t>
            </w:r>
            <w:r>
              <w:rPr>
                <w:rFonts w:hint="eastAsia" w:ascii="宋体" w:hAnsi="宋体" w:eastAsia="宋体" w:cs="宋体"/>
                <w:color w:val="333333"/>
                <w:kern w:val="0"/>
                <w:sz w:val="20"/>
                <w:szCs w:val="20"/>
                <w:lang w:bidi="ar"/>
              </w:rPr>
              <w:br w:type="textWrapping"/>
            </w:r>
            <w:r>
              <w:rPr>
                <w:rFonts w:hint="eastAsia" w:ascii="宋体" w:hAnsi="宋体" w:eastAsia="宋体" w:cs="宋体"/>
                <w:color w:val="333333"/>
                <w:kern w:val="0"/>
                <w:sz w:val="20"/>
                <w:szCs w:val="20"/>
                <w:lang w:bidi="ar"/>
              </w:rPr>
              <w:t>审结</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宋体" w:hAnsi="宋体" w:eastAsia="宋体" w:cs="宋体"/>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eastAsia="黑体"/>
              </w:rPr>
            </w:pPr>
            <w:r>
              <w:rPr>
                <w:rFonts w:hint="eastAsia" w:ascii="黑体" w:hAnsi="宋体" w:eastAsia="黑体" w:cs="黑体"/>
                <w:color w:val="333333"/>
                <w:sz w:val="20"/>
                <w:szCs w:val="20"/>
                <w:lang w:bidi="ar"/>
              </w:rPr>
              <w:t>4</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pPr>
            <w:r>
              <w:rPr>
                <w:rFonts w:hint="eastAsia" w:ascii="宋体" w:hAnsi="宋体" w:eastAsia="宋体" w:cs="宋体"/>
                <w:szCs w:val="21"/>
              </w:rPr>
              <w:t>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pPr>
            <w:r>
              <w:rPr>
                <w:rFonts w:hint="eastAsia" w:ascii="宋体" w:hAnsi="宋体" w:eastAsia="宋体" w:cs="宋体"/>
                <w:szCs w:val="21"/>
              </w:rPr>
              <w:t>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pPr>
            <w:r>
              <w:rPr>
                <w:rFonts w:hint="eastAsia" w:ascii="宋体" w:hAnsi="宋体" w:eastAsia="宋体" w:cs="宋体"/>
                <w:szCs w:val="21"/>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黑体" w:hAnsi="宋体" w:eastAsia="黑体" w:cs="黑体"/>
                <w:color w:val="333333"/>
                <w:sz w:val="20"/>
                <w:szCs w:val="20"/>
                <w:lang w:bidi="ar"/>
              </w:rPr>
              <w:t>4</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eastAsia="黑体"/>
              </w:rPr>
            </w:pPr>
            <w:r>
              <w:rPr>
                <w:rFonts w:hint="eastAsia" w:ascii="黑体" w:hAnsi="宋体" w:eastAsia="黑体" w:cs="黑体"/>
                <w:color w:val="333333"/>
                <w:sz w:val="20"/>
                <w:szCs w:val="20"/>
                <w:lang w:bidi="ar"/>
              </w:rPr>
              <w:t>3</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pPr>
            <w:r>
              <w:rPr>
                <w:rFonts w:hint="eastAsia" w:ascii="宋体" w:hAnsi="宋体" w:eastAsia="宋体" w:cs="宋体"/>
                <w:szCs w:val="21"/>
              </w:rPr>
              <w:t>0</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pPr>
            <w:r>
              <w:rPr>
                <w:rFonts w:hint="eastAsia" w:ascii="宋体" w:hAnsi="宋体" w:eastAsia="宋体" w:cs="宋体"/>
                <w:szCs w:val="21"/>
              </w:rPr>
              <w:t>0</w:t>
            </w:r>
          </w:p>
        </w:tc>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eastAsia="黑体"/>
              </w:rPr>
            </w:pPr>
            <w:r>
              <w:rPr>
                <w:rFonts w:hint="eastAsia" w:ascii="黑体" w:hAnsi="宋体" w:eastAsia="黑体" w:cs="黑体"/>
                <w:color w:val="333333"/>
                <w:sz w:val="20"/>
                <w:szCs w:val="20"/>
                <w:lang w:bidi="ar"/>
              </w:rPr>
              <w:t>16</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ascii="黑体" w:hAnsi="宋体" w:eastAsia="黑体" w:cs="黑体"/>
                <w:color w:val="333333"/>
                <w:sz w:val="20"/>
                <w:szCs w:val="20"/>
                <w:lang w:bidi="ar"/>
              </w:rPr>
              <w:t>19</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pPr>
            <w:r>
              <w:rPr>
                <w:rFonts w:hint="eastAsia"/>
              </w:rPr>
              <w:t>2</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pPr>
            <w:r>
              <w:rPr>
                <w:rFonts w:hint="eastAsia" w:ascii="宋体" w:hAnsi="宋体" w:eastAsia="宋体" w:cs="宋体"/>
                <w:szCs w:val="21"/>
              </w:rPr>
              <w:t>0</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pPr>
            <w:r>
              <w:rPr>
                <w:rFonts w:hint="eastAsia" w:ascii="宋体" w:hAnsi="宋体" w:eastAsia="宋体" w:cs="宋体"/>
                <w:szCs w:val="21"/>
              </w:rPr>
              <w:t>0</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pPr>
            <w:r>
              <w:rPr>
                <w:rFonts w:hint="eastAsia" w:ascii="宋体" w:hAnsi="宋体" w:eastAsia="宋体" w:cs="宋体"/>
                <w:szCs w:val="21"/>
              </w:rPr>
              <w:t>0</w:t>
            </w:r>
          </w:p>
        </w:tc>
        <w:tc>
          <w:tcPr>
            <w:tcW w:w="33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eastAsia="宋体" w:cs="宋体"/>
                <w:color w:val="333333"/>
                <w:szCs w:val="21"/>
              </w:rPr>
            </w:pPr>
            <w:r>
              <w:rPr>
                <w:rFonts w:hint="eastAsia" w:ascii="宋体" w:hAnsi="宋体" w:eastAsia="宋体" w:cs="宋体"/>
                <w:color w:val="333333"/>
                <w:szCs w:val="21"/>
              </w:rPr>
              <w:t>2</w:t>
            </w:r>
          </w:p>
        </w:tc>
      </w:tr>
    </w:tbl>
    <w:p>
      <w:pPr>
        <w:widowControl/>
        <w:spacing w:line="560" w:lineRule="exact"/>
        <w:jc w:val="left"/>
      </w:pPr>
    </w:p>
    <w:p>
      <w:pPr>
        <w:pStyle w:val="4"/>
        <w:widowControl/>
        <w:spacing w:line="560" w:lineRule="exact"/>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五、存在的主要问题及改进情况</w:t>
      </w:r>
    </w:p>
    <w:p>
      <w:pPr>
        <w:pStyle w:val="4"/>
        <w:widowControl/>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我局政府信息和政务公开工作发展还需更精细，努力从标准规范向精细服务提升。对群众信息需求侧研究有待加深，服务群众生活、方便群众办事上还需进一步提高，政策解读的针对性、质量和效果有待加强。2023年我局将努力提高政府工作解读水平，进一步创新解读传播形式，综合运用数字化，图表图解、动漫视频等生动形象的方式，增强亲和力、引导力、传播力、影响力。</w:t>
      </w:r>
    </w:p>
    <w:p>
      <w:pPr>
        <w:pStyle w:val="4"/>
        <w:widowControl/>
        <w:spacing w:line="560" w:lineRule="exact"/>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六、其他需要报告的事项</w:t>
      </w:r>
    </w:p>
    <w:p>
      <w:pPr>
        <w:widowControl/>
        <w:spacing w:line="560" w:lineRule="exact"/>
        <w:ind w:firstLine="640" w:firstLineChars="200"/>
        <w:jc w:val="left"/>
        <w:rPr>
          <w:rFonts w:ascii="仿宋" w:hAnsi="仿宋" w:eastAsia="仿宋" w:cs="仿宋"/>
          <w:color w:val="000000"/>
          <w:sz w:val="32"/>
          <w:szCs w:val="32"/>
        </w:rPr>
      </w:pPr>
      <w:r>
        <w:rPr>
          <w:rFonts w:ascii="仿宋" w:hAnsi="仿宋" w:eastAsia="仿宋" w:cs="仿宋"/>
          <w:color w:val="000000"/>
          <w:kern w:val="0"/>
          <w:sz w:val="32"/>
          <w:szCs w:val="32"/>
        </w:rPr>
        <w:t>20</w:t>
      </w:r>
      <w:r>
        <w:rPr>
          <w:rFonts w:hint="eastAsia" w:ascii="仿宋" w:hAnsi="仿宋" w:eastAsia="仿宋" w:cs="仿宋"/>
          <w:color w:val="000000"/>
          <w:kern w:val="0"/>
          <w:sz w:val="32"/>
          <w:szCs w:val="32"/>
        </w:rPr>
        <w:t>22年，我局主动公开、依申请公开政府信息均未收取任何检索、复制、邮寄等费用。较好落实了政务公开工作要点，全年办理市区人大议案代表建议案和政协提案30件，其中主办1件，协办29件，都按规定时限完成回复和走访，主办件均做到了走访率</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回复率</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满意率100%。</w:t>
      </w:r>
    </w:p>
    <w:p>
      <w:pPr>
        <w:pStyle w:val="4"/>
        <w:widowControl/>
        <w:spacing w:line="560" w:lineRule="exact"/>
        <w:ind w:firstLine="640" w:firstLineChars="200"/>
        <w:jc w:val="both"/>
        <w:rPr>
          <w:rFonts w:hint="eastAsia" w:ascii="仿宋" w:hAnsi="仿宋" w:eastAsia="仿宋" w:cs="仿宋"/>
          <w:sz w:val="32"/>
          <w:szCs w:val="32"/>
        </w:rPr>
      </w:pPr>
      <w:bookmarkStart w:id="0" w:name="_GoBack"/>
      <w:bookmarkEnd w:id="0"/>
    </w:p>
    <w:p>
      <w:pPr>
        <w:pStyle w:val="4"/>
        <w:widowControl/>
        <w:spacing w:line="560" w:lineRule="exact"/>
        <w:ind w:firstLine="2880" w:firstLineChars="900"/>
        <w:jc w:val="both"/>
        <w:rPr>
          <w:rFonts w:hint="eastAsia" w:ascii="仿宋" w:hAnsi="仿宋" w:eastAsia="仿宋" w:cs="仿宋"/>
          <w:sz w:val="32"/>
          <w:szCs w:val="32"/>
        </w:rPr>
      </w:pPr>
      <w:r>
        <w:rPr>
          <w:rFonts w:hint="eastAsia" w:ascii="仿宋" w:hAnsi="仿宋" w:eastAsia="仿宋" w:cs="仿宋"/>
          <w:sz w:val="32"/>
          <w:szCs w:val="32"/>
        </w:rPr>
        <w:t>武汉市自然资源和规划局硚口分局</w:t>
      </w:r>
    </w:p>
    <w:p>
      <w:pPr>
        <w:pStyle w:val="4"/>
        <w:widowControl/>
        <w:spacing w:line="560" w:lineRule="exact"/>
        <w:ind w:firstLine="4480" w:firstLineChars="1400"/>
        <w:jc w:val="both"/>
        <w:rPr>
          <w:rFonts w:ascii="仿宋" w:hAnsi="仿宋" w:eastAsia="仿宋" w:cs="仿宋"/>
          <w:sz w:val="32"/>
          <w:szCs w:val="32"/>
        </w:rPr>
      </w:pPr>
      <w:r>
        <w:rPr>
          <w:rFonts w:hint="eastAsia" w:ascii="仿宋" w:hAnsi="仿宋" w:eastAsia="仿宋" w:cs="仿宋"/>
          <w:sz w:val="32"/>
          <w:szCs w:val="32"/>
        </w:rPr>
        <w:t>2023年1月4日</w:t>
      </w:r>
    </w:p>
    <w:sectPr>
      <w:pgSz w:w="11906" w:h="16838"/>
      <w:pgMar w:top="1440" w:right="130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DE5DF9-6B69-4E00-9BEA-A050322E5E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6AF79CF-5318-4A84-9EA4-9669599FF6B5}"/>
  </w:font>
  <w:font w:name="仿宋_GB2312">
    <w:altName w:val="仿宋"/>
    <w:panose1 w:val="00000000000000000000"/>
    <w:charset w:val="86"/>
    <w:family w:val="auto"/>
    <w:pitch w:val="default"/>
    <w:sig w:usb0="00000000" w:usb1="00000000" w:usb2="00000000" w:usb3="00000000" w:csb0="00040000" w:csb1="00000000"/>
    <w:embedRegular r:id="rId3" w:fontKey="{DE526840-1C7A-4745-BBA8-409C09F0914B}"/>
  </w:font>
  <w:font w:name="仿宋">
    <w:panose1 w:val="02010609060101010101"/>
    <w:charset w:val="86"/>
    <w:family w:val="modern"/>
    <w:pitch w:val="default"/>
    <w:sig w:usb0="800002BF" w:usb1="38CF7CFA" w:usb2="00000016" w:usb3="00000000" w:csb0="00040001" w:csb1="00000000"/>
    <w:embedRegular r:id="rId4" w:fontKey="{26706D74-4136-4758-B8A8-74FCBDD67121}"/>
  </w:font>
  <w:font w:name="楷体">
    <w:panose1 w:val="02010609060101010101"/>
    <w:charset w:val="86"/>
    <w:family w:val="modern"/>
    <w:pitch w:val="default"/>
    <w:sig w:usb0="800002BF" w:usb1="38CF7CFA" w:usb2="00000016" w:usb3="00000000" w:csb0="00040001" w:csb1="00000000"/>
    <w:embedRegular r:id="rId5" w:fontKey="{7EB37707-3BF8-4E97-A56C-C8F7EC6D37B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OWZiOTMyZTBmODU4ZjIzNDkxNTcwYjBmMWI5MTQifQ=="/>
  </w:docVars>
  <w:rsids>
    <w:rsidRoot w:val="238B1E27"/>
    <w:rsid w:val="000559D0"/>
    <w:rsid w:val="000A7548"/>
    <w:rsid w:val="000C32E3"/>
    <w:rsid w:val="00260F2D"/>
    <w:rsid w:val="00265874"/>
    <w:rsid w:val="00327210"/>
    <w:rsid w:val="00563C68"/>
    <w:rsid w:val="00696BE2"/>
    <w:rsid w:val="00777BFB"/>
    <w:rsid w:val="008015FE"/>
    <w:rsid w:val="00923FF4"/>
    <w:rsid w:val="00962F01"/>
    <w:rsid w:val="00963EFC"/>
    <w:rsid w:val="00A30113"/>
    <w:rsid w:val="00C451CE"/>
    <w:rsid w:val="00C83E51"/>
    <w:rsid w:val="00D26CAF"/>
    <w:rsid w:val="00D54C7E"/>
    <w:rsid w:val="00E11808"/>
    <w:rsid w:val="00E647B6"/>
    <w:rsid w:val="00EE59A1"/>
    <w:rsid w:val="00F47B0F"/>
    <w:rsid w:val="033009DE"/>
    <w:rsid w:val="238B1E27"/>
    <w:rsid w:val="246E2621"/>
    <w:rsid w:val="2D3E36AD"/>
    <w:rsid w:val="380214FF"/>
    <w:rsid w:val="397119C0"/>
    <w:rsid w:val="3F8D3318"/>
    <w:rsid w:val="529152E0"/>
    <w:rsid w:val="56184B75"/>
    <w:rsid w:val="565407E9"/>
    <w:rsid w:val="56BD7910"/>
    <w:rsid w:val="6111574C"/>
    <w:rsid w:val="72220775"/>
    <w:rsid w:val="79FB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5</Pages>
  <Words>2019</Words>
  <Characters>2102</Characters>
  <Lines>17</Lines>
  <Paragraphs>5</Paragraphs>
  <TotalTime>151</TotalTime>
  <ScaleCrop>false</ScaleCrop>
  <LinksUpToDate>false</LinksUpToDate>
  <CharactersWithSpaces>2112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2021-12-29T08:16:00Z</dcterms:created>
  <dc:creator>WPS_1624785580</dc:creator>
  <cp:lastModifiedBy>Administrator</cp:lastModifiedBy>
  <dcterms:modified xsi:type="dcterms:W3CDTF">2023-01-11T07:29:35Z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0D93699D210C4A749BE77D3A3954EE8C</vt:lpwstr>
  </property>
</Properties>
</file>