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widowControl/>
        <w:spacing w:before="0" w:beforeAutospacing="0" w:after="0" w:afterAutospacing="0" w:line="432"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硚口区融媒体中心</w:t>
      </w:r>
      <w:r>
        <w:rPr>
          <w:rFonts w:hint="eastAsia" w:ascii="宋体" w:hAnsi="宋体" w:eastAsia="宋体" w:cs="宋体"/>
          <w:b/>
          <w:bCs/>
          <w:color w:val="auto"/>
          <w:sz w:val="44"/>
          <w:szCs w:val="44"/>
          <w:lang w:val="en-US" w:eastAsia="zh-CN"/>
        </w:rPr>
        <w:t>2021年</w:t>
      </w:r>
      <w:r>
        <w:rPr>
          <w:rFonts w:hint="eastAsia" w:ascii="宋体" w:hAnsi="宋体" w:eastAsia="宋体" w:cs="宋体"/>
          <w:b/>
          <w:bCs/>
          <w:color w:val="auto"/>
          <w:sz w:val="44"/>
          <w:szCs w:val="44"/>
        </w:rPr>
        <w:t>政府信息</w:t>
      </w:r>
    </w:p>
    <w:p>
      <w:pPr>
        <w:pStyle w:val="5"/>
        <w:widowControl/>
        <w:spacing w:before="0" w:beforeAutospacing="0" w:after="0" w:afterAutospacing="0" w:line="432"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公开工作年度报告</w:t>
      </w:r>
    </w:p>
    <w:p>
      <w:pPr>
        <w:pStyle w:val="5"/>
        <w:widowControl/>
        <w:spacing w:before="0" w:beforeAutospacing="0" w:after="0" w:afterAutospacing="0" w:line="432" w:lineRule="auto"/>
        <w:ind w:left="0" w:firstLine="420"/>
        <w:jc w:val="both"/>
        <w:rPr>
          <w:rFonts w:hint="eastAsia" w:ascii="宋体" w:hAnsi="宋体" w:eastAsia="宋体" w:cs="宋体"/>
          <w:color w:val="auto"/>
        </w:rPr>
      </w:pPr>
    </w:p>
    <w:p>
      <w:pPr>
        <w:pStyle w:val="5"/>
        <w:widowControl/>
        <w:wordWrap/>
        <w:adjustRightInd/>
        <w:snapToGrid/>
        <w:spacing w:before="0" w:beforeAutospacing="0" w:after="0" w:afterAutospacing="0" w:line="360" w:lineRule="auto"/>
        <w:ind w:left="0" w:firstLine="640" w:firstLineChars="200"/>
        <w:jc w:val="both"/>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一、总体情况</w:t>
      </w:r>
    </w:p>
    <w:p>
      <w:pPr>
        <w:pStyle w:val="5"/>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1" w:firstLineChars="200"/>
        <w:jc w:val="both"/>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202</w:t>
      </w:r>
      <w:r>
        <w:rPr>
          <w:rFonts w:hint="eastAsia" w:ascii="宋体" w:hAnsi="宋体" w:eastAsia="宋体" w:cs="宋体"/>
          <w:i w:val="0"/>
          <w:caps w:val="0"/>
          <w:color w:val="auto"/>
          <w:spacing w:val="0"/>
          <w:sz w:val="32"/>
          <w:szCs w:val="32"/>
          <w:shd w:val="clear" w:color="auto" w:fill="FFFFFF"/>
          <w:lang w:val="en-US" w:eastAsia="zh-CN"/>
        </w:rPr>
        <w:t>1</w:t>
      </w:r>
      <w:r>
        <w:rPr>
          <w:rFonts w:hint="eastAsia" w:ascii="宋体" w:hAnsi="宋体" w:eastAsia="宋体" w:cs="宋体"/>
          <w:i w:val="0"/>
          <w:caps w:val="0"/>
          <w:color w:val="auto"/>
          <w:spacing w:val="0"/>
          <w:sz w:val="32"/>
          <w:szCs w:val="32"/>
          <w:shd w:val="clear" w:color="auto" w:fill="FFFFFF"/>
        </w:rPr>
        <w:t>年以来，在</w:t>
      </w:r>
      <w:r>
        <w:rPr>
          <w:rFonts w:hint="eastAsia" w:ascii="宋体" w:hAnsi="宋体" w:eastAsia="宋体" w:cs="宋体"/>
          <w:i w:val="0"/>
          <w:caps w:val="0"/>
          <w:color w:val="auto"/>
          <w:spacing w:val="0"/>
          <w:sz w:val="32"/>
          <w:szCs w:val="32"/>
          <w:shd w:val="clear" w:color="auto" w:fill="FFFFFF"/>
          <w:lang w:eastAsia="zh-CN"/>
        </w:rPr>
        <w:t>区</w:t>
      </w:r>
      <w:r>
        <w:rPr>
          <w:rFonts w:hint="eastAsia" w:ascii="宋体" w:hAnsi="宋体" w:eastAsia="宋体" w:cs="宋体"/>
          <w:i w:val="0"/>
          <w:caps w:val="0"/>
          <w:color w:val="auto"/>
          <w:spacing w:val="0"/>
          <w:sz w:val="32"/>
          <w:szCs w:val="32"/>
          <w:shd w:val="clear" w:color="auto" w:fill="FFFFFF"/>
        </w:rPr>
        <w:t>委、</w:t>
      </w:r>
      <w:r>
        <w:rPr>
          <w:rFonts w:hint="eastAsia" w:ascii="宋体" w:hAnsi="宋体" w:eastAsia="宋体" w:cs="宋体"/>
          <w:i w:val="0"/>
          <w:caps w:val="0"/>
          <w:color w:val="auto"/>
          <w:spacing w:val="0"/>
          <w:sz w:val="32"/>
          <w:szCs w:val="32"/>
          <w:shd w:val="clear" w:color="auto" w:fill="FFFFFF"/>
          <w:lang w:eastAsia="zh-CN"/>
        </w:rPr>
        <w:t>区</w:t>
      </w:r>
      <w:r>
        <w:rPr>
          <w:rFonts w:hint="eastAsia" w:ascii="宋体" w:hAnsi="宋体" w:eastAsia="宋体" w:cs="宋体"/>
          <w:i w:val="0"/>
          <w:caps w:val="0"/>
          <w:color w:val="auto"/>
          <w:spacing w:val="0"/>
          <w:sz w:val="32"/>
          <w:szCs w:val="32"/>
          <w:shd w:val="clear" w:color="auto" w:fill="FFFFFF"/>
        </w:rPr>
        <w:t>政府的坚强领导下，</w:t>
      </w:r>
      <w:r>
        <w:rPr>
          <w:rFonts w:hint="eastAsia" w:ascii="宋体" w:hAnsi="宋体" w:eastAsia="宋体" w:cs="宋体"/>
          <w:i w:val="0"/>
          <w:caps w:val="0"/>
          <w:color w:val="auto"/>
          <w:spacing w:val="0"/>
          <w:sz w:val="32"/>
          <w:szCs w:val="32"/>
          <w:shd w:val="clear" w:color="auto" w:fill="FFFFFF"/>
          <w:lang w:eastAsia="zh-CN"/>
        </w:rPr>
        <w:t>硚口区</w:t>
      </w:r>
      <w:r>
        <w:rPr>
          <w:rFonts w:hint="eastAsia" w:ascii="宋体" w:hAnsi="宋体" w:eastAsia="宋体" w:cs="宋体"/>
          <w:i w:val="0"/>
          <w:caps w:val="0"/>
          <w:color w:val="auto"/>
          <w:spacing w:val="0"/>
          <w:sz w:val="32"/>
          <w:szCs w:val="32"/>
          <w:shd w:val="clear" w:color="auto" w:fill="FFFFFF"/>
        </w:rPr>
        <w:t>融媒体中心按照《信息公开条例》的规定，紧密结合工作实际，分解政务公开目标任务，统筹谋划全年政务公开工作，对政务公开工作进行安排部署，不断加大政务信息公开工作的力度。</w:t>
      </w:r>
    </w:p>
    <w:p>
      <w:pPr>
        <w:pStyle w:val="5"/>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jc w:val="both"/>
        <w:rPr>
          <w:rFonts w:hint="eastAsia" w:ascii="宋体" w:hAnsi="宋体" w:eastAsia="宋体" w:cs="宋体"/>
          <w:i w:val="0"/>
          <w:caps w:val="0"/>
          <w:color w:val="auto"/>
          <w:spacing w:val="0"/>
          <w:sz w:val="32"/>
          <w:szCs w:val="32"/>
        </w:rPr>
      </w:pPr>
      <w:r>
        <w:rPr>
          <w:rFonts w:hint="eastAsia" w:ascii="宋体" w:hAnsi="宋体" w:cs="宋体"/>
          <w:b/>
          <w:bCs/>
          <w:color w:val="auto"/>
          <w:sz w:val="32"/>
          <w:szCs w:val="32"/>
          <w:lang w:val="en-US" w:eastAsia="zh-CN"/>
        </w:rPr>
        <w:t xml:space="preserve">    （</w:t>
      </w:r>
      <w:r>
        <w:rPr>
          <w:rFonts w:hint="eastAsia" w:ascii="宋体" w:hAnsi="宋体" w:eastAsia="宋体" w:cs="宋体"/>
          <w:b/>
          <w:bCs/>
          <w:color w:val="auto"/>
          <w:sz w:val="32"/>
          <w:szCs w:val="32"/>
          <w:lang w:val="en-US" w:eastAsia="zh-CN"/>
        </w:rPr>
        <w:t>一）政府信息主动公开情况。</w:t>
      </w:r>
      <w:r>
        <w:rPr>
          <w:rFonts w:hint="eastAsia" w:ascii="宋体" w:hAnsi="宋体" w:eastAsia="宋体" w:cs="宋体"/>
          <w:i w:val="0"/>
          <w:caps w:val="0"/>
          <w:color w:val="auto"/>
          <w:spacing w:val="0"/>
          <w:sz w:val="32"/>
          <w:szCs w:val="32"/>
          <w:shd w:val="clear" w:color="auto" w:fill="FFFFFF"/>
        </w:rPr>
        <w:t>严格落实主要领导为第一责任人，分管领导亲自抓督促、抓协调、抓落实，形成“主要领导负总责，分管领导具体抓，层层部署落实，</w:t>
      </w:r>
      <w:r>
        <w:rPr>
          <w:rFonts w:hint="eastAsia" w:ascii="宋体" w:hAnsi="宋体" w:eastAsia="宋体" w:cs="宋体"/>
          <w:i w:val="0"/>
          <w:caps w:val="0"/>
          <w:color w:val="auto"/>
          <w:spacing w:val="0"/>
          <w:sz w:val="32"/>
          <w:szCs w:val="32"/>
          <w:shd w:val="clear" w:color="auto" w:fill="FFFFFF"/>
          <w:lang w:eastAsia="zh-CN"/>
        </w:rPr>
        <w:t>科</w:t>
      </w:r>
      <w:r>
        <w:rPr>
          <w:rFonts w:hint="eastAsia" w:ascii="宋体" w:hAnsi="宋体" w:eastAsia="宋体" w:cs="宋体"/>
          <w:i w:val="0"/>
          <w:caps w:val="0"/>
          <w:color w:val="auto"/>
          <w:spacing w:val="0"/>
          <w:sz w:val="32"/>
          <w:szCs w:val="32"/>
          <w:shd w:val="clear" w:color="auto" w:fill="FFFFFF"/>
        </w:rPr>
        <w:t>室分工协作”的工作机制，为政务公开工作提供强有力的组织保障</w:t>
      </w:r>
      <w:r>
        <w:rPr>
          <w:rFonts w:hint="eastAsia" w:ascii="宋体" w:hAnsi="宋体" w:eastAsia="宋体" w:cs="宋体"/>
          <w:i w:val="0"/>
          <w:caps w:val="0"/>
          <w:color w:val="auto"/>
          <w:spacing w:val="0"/>
          <w:sz w:val="32"/>
          <w:szCs w:val="32"/>
          <w:shd w:val="clear" w:color="auto" w:fill="FFFFFF"/>
          <w:lang w:eastAsia="zh-CN"/>
        </w:rPr>
        <w:t>。并</w:t>
      </w:r>
      <w:r>
        <w:rPr>
          <w:rFonts w:hint="eastAsia" w:ascii="宋体" w:hAnsi="宋体" w:eastAsia="宋体" w:cs="宋体"/>
          <w:i w:val="0"/>
          <w:caps w:val="0"/>
          <w:color w:val="auto"/>
          <w:spacing w:val="0"/>
          <w:sz w:val="32"/>
          <w:szCs w:val="32"/>
          <w:shd w:val="clear" w:color="auto" w:fill="FFFFFF"/>
        </w:rPr>
        <w:t>根据信息公开的有关规定建立了政务信息公开制度，坚持和完善政务公开形式。按照精简、高效、文明、廉洁推行政务公开制度的要求，坚持和完善民主集中制，集体研究解决重大问题，进一步健全议事规则，完善决策程序；对已形成的内部规章制度逐一进行修订完善，以便进一步加强内部管理。</w:t>
      </w:r>
    </w:p>
    <w:p>
      <w:pPr>
        <w:pStyle w:val="5"/>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jc w:val="both"/>
        <w:rPr>
          <w:rFonts w:hint="eastAsia" w:ascii="宋体" w:hAnsi="宋体" w:eastAsia="宋体" w:cs="宋体"/>
          <w:i w:val="0"/>
          <w:caps w:val="0"/>
          <w:color w:val="auto"/>
          <w:spacing w:val="0"/>
          <w:sz w:val="32"/>
          <w:szCs w:val="32"/>
        </w:rPr>
      </w:pPr>
      <w:r>
        <w:rPr>
          <w:rFonts w:hint="eastAsia" w:ascii="宋体" w:hAnsi="宋体" w:cs="宋体"/>
          <w:b/>
          <w:bCs/>
          <w:color w:val="auto"/>
          <w:sz w:val="32"/>
          <w:szCs w:val="32"/>
          <w:lang w:val="en-US" w:eastAsia="zh-CN"/>
        </w:rPr>
        <w:t xml:space="preserve">    （</w:t>
      </w:r>
      <w:r>
        <w:rPr>
          <w:rFonts w:hint="eastAsia" w:ascii="宋体" w:hAnsi="宋体" w:eastAsia="宋体" w:cs="宋体"/>
          <w:b/>
          <w:bCs/>
          <w:color w:val="auto"/>
          <w:sz w:val="32"/>
          <w:szCs w:val="32"/>
          <w:lang w:val="en-US" w:eastAsia="zh-CN"/>
        </w:rPr>
        <w:t>二）政府信息申请公开情况。</w:t>
      </w:r>
      <w:r>
        <w:rPr>
          <w:rFonts w:hint="eastAsia" w:ascii="宋体" w:hAnsi="宋体" w:eastAsia="宋体" w:cs="宋体"/>
          <w:i w:val="0"/>
          <w:caps w:val="0"/>
          <w:color w:val="auto"/>
          <w:spacing w:val="0"/>
          <w:sz w:val="32"/>
          <w:szCs w:val="32"/>
          <w:shd w:val="clear" w:color="auto" w:fill="FFFFFF"/>
        </w:rPr>
        <w:t>按照政府部门信息公开平台的调整，对公开的信息做到分类、分栏目发布，明确发布内容、公开时限和发布格式，及时全面地公开相关信息，进一步保障群众的知情权、参与权和监督权。</w:t>
      </w:r>
    </w:p>
    <w:p>
      <w:pPr>
        <w:pStyle w:val="5"/>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both"/>
        <w:rPr>
          <w:rFonts w:hint="eastAsia" w:ascii="宋体" w:hAnsi="宋体" w:eastAsia="宋体" w:cs="宋体"/>
          <w:i w:val="0"/>
          <w:caps w:val="0"/>
          <w:color w:val="auto"/>
          <w:spacing w:val="0"/>
          <w:sz w:val="32"/>
          <w:szCs w:val="32"/>
        </w:rPr>
      </w:pPr>
      <w:r>
        <w:rPr>
          <w:rFonts w:hint="eastAsia" w:ascii="宋体" w:hAnsi="宋体" w:cs="宋体"/>
          <w:b/>
          <w:i w:val="0"/>
          <w:caps w:val="0"/>
          <w:color w:val="auto"/>
          <w:spacing w:val="0"/>
          <w:sz w:val="32"/>
          <w:szCs w:val="32"/>
          <w:shd w:val="clear" w:color="auto" w:fill="FFFFFF"/>
          <w:lang w:val="en-US" w:eastAsia="zh-CN"/>
        </w:rPr>
        <w:t xml:space="preserve">    （</w:t>
      </w:r>
      <w:r>
        <w:rPr>
          <w:rFonts w:hint="eastAsia" w:ascii="宋体" w:hAnsi="宋体" w:eastAsia="宋体" w:cs="宋体"/>
          <w:b/>
          <w:i w:val="0"/>
          <w:caps w:val="0"/>
          <w:color w:val="auto"/>
          <w:spacing w:val="0"/>
          <w:sz w:val="32"/>
          <w:szCs w:val="32"/>
          <w:shd w:val="clear" w:color="auto" w:fill="FFFFFF"/>
          <w:lang w:eastAsia="zh-CN"/>
        </w:rPr>
        <w:t>三</w:t>
      </w:r>
      <w:r>
        <w:rPr>
          <w:rFonts w:hint="eastAsia" w:ascii="宋体" w:hAnsi="宋体" w:eastAsia="宋体" w:cs="宋体"/>
          <w:b/>
          <w:i w:val="0"/>
          <w:caps w:val="0"/>
          <w:color w:val="auto"/>
          <w:spacing w:val="0"/>
          <w:sz w:val="32"/>
          <w:szCs w:val="32"/>
          <w:shd w:val="clear" w:color="auto" w:fill="FFFFFF"/>
        </w:rPr>
        <w:t>）政府信息管理情况</w:t>
      </w:r>
      <w:r>
        <w:rPr>
          <w:rFonts w:hint="eastAsia" w:ascii="宋体" w:hAnsi="宋体" w:eastAsia="宋体" w:cs="宋体"/>
          <w:b/>
          <w:i w:val="0"/>
          <w:caps w:val="0"/>
          <w:color w:val="auto"/>
          <w:spacing w:val="0"/>
          <w:sz w:val="32"/>
          <w:szCs w:val="32"/>
          <w:shd w:val="clear" w:color="auto" w:fill="FFFFFF"/>
          <w:lang w:eastAsia="zh-CN"/>
        </w:rPr>
        <w:t>。</w:t>
      </w:r>
      <w:r>
        <w:rPr>
          <w:rFonts w:hint="eastAsia" w:ascii="宋体" w:hAnsi="宋体" w:eastAsia="宋体" w:cs="宋体"/>
          <w:i w:val="0"/>
          <w:caps w:val="0"/>
          <w:color w:val="auto"/>
          <w:spacing w:val="0"/>
          <w:sz w:val="32"/>
          <w:szCs w:val="32"/>
          <w:shd w:val="clear" w:color="auto" w:fill="FFFFFF"/>
        </w:rPr>
        <w:t>我中心对各公开栏目需公开的内容进行全面补缺补差、充实完善，对所有内容信息进行全面审查整改。一是对错别字及敏感词语进行一次全方位正向查错及反向查错，确保信息公开内容准确无误；二是组织专人对涉及到个人隐私和涉密公开内容认真进行隐藏化处理，确保信息公开内容不涉密、不泄密、不泄露个人信息，保证公开内容合法合规</w:t>
      </w:r>
      <w:r>
        <w:rPr>
          <w:rFonts w:hint="eastAsia" w:ascii="宋体" w:hAnsi="宋体" w:eastAsia="宋体" w:cs="宋体"/>
          <w:i w:val="0"/>
          <w:caps w:val="0"/>
          <w:color w:val="auto"/>
          <w:spacing w:val="0"/>
          <w:sz w:val="32"/>
          <w:szCs w:val="32"/>
          <w:shd w:val="clear" w:color="auto" w:fill="FFFFFF"/>
          <w:lang w:eastAsia="zh-CN"/>
        </w:rPr>
        <w:t>。</w:t>
      </w:r>
    </w:p>
    <w:p>
      <w:pPr>
        <w:pStyle w:val="5"/>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jc w:val="both"/>
        <w:rPr>
          <w:rFonts w:hint="eastAsia" w:ascii="宋体" w:hAnsi="宋体" w:eastAsia="宋体" w:cs="宋体"/>
          <w:i w:val="0"/>
          <w:caps w:val="0"/>
          <w:color w:val="auto"/>
          <w:spacing w:val="0"/>
          <w:sz w:val="32"/>
          <w:szCs w:val="32"/>
        </w:rPr>
      </w:pPr>
      <w:r>
        <w:rPr>
          <w:rFonts w:hint="eastAsia" w:ascii="宋体" w:hAnsi="宋体" w:cs="宋体"/>
          <w:b/>
          <w:bCs/>
          <w:i w:val="0"/>
          <w:caps w:val="0"/>
          <w:color w:val="auto"/>
          <w:spacing w:val="0"/>
          <w:sz w:val="32"/>
          <w:szCs w:val="32"/>
          <w:shd w:val="clear" w:color="auto" w:fill="FFFFFF"/>
          <w:lang w:val="en-US" w:eastAsia="zh-CN"/>
        </w:rPr>
        <w:t xml:space="preserve">    （</w:t>
      </w:r>
      <w:r>
        <w:rPr>
          <w:rFonts w:hint="eastAsia" w:ascii="宋体" w:hAnsi="宋体" w:eastAsia="宋体" w:cs="宋体"/>
          <w:b/>
          <w:bCs/>
          <w:i w:val="0"/>
          <w:caps w:val="0"/>
          <w:color w:val="auto"/>
          <w:spacing w:val="0"/>
          <w:sz w:val="32"/>
          <w:szCs w:val="32"/>
          <w:shd w:val="clear" w:color="auto" w:fill="FFFFFF"/>
          <w:lang w:val="en-US" w:eastAsia="zh-CN"/>
        </w:rPr>
        <w:t>四）</w:t>
      </w:r>
      <w:r>
        <w:rPr>
          <w:rFonts w:hint="eastAsia" w:ascii="宋体" w:hAnsi="宋体" w:eastAsia="宋体" w:cs="宋体"/>
          <w:b/>
          <w:bCs/>
          <w:color w:val="auto"/>
          <w:sz w:val="32"/>
          <w:szCs w:val="32"/>
          <w:lang w:val="en-US" w:eastAsia="zh-CN"/>
        </w:rPr>
        <w:t>政府信息公开平台建设情况。</w:t>
      </w:r>
      <w:r>
        <w:rPr>
          <w:rFonts w:hint="eastAsia" w:ascii="宋体" w:hAnsi="宋体" w:eastAsia="宋体" w:cs="宋体"/>
          <w:i w:val="0"/>
          <w:caps w:val="0"/>
          <w:color w:val="auto"/>
          <w:spacing w:val="0"/>
          <w:sz w:val="32"/>
          <w:szCs w:val="32"/>
          <w:shd w:val="clear" w:color="auto" w:fill="FFFFFF"/>
        </w:rPr>
        <w:t>为加强我单位政府信息公开的载体建设，拓展信息公开渠道，使政府信息公开渠道和方式更加多样、便捷，方便公民、法人和其他组织获取我单位政府信息。目前我单位发布政府公开信息的主要渠道和形式有：</w:t>
      </w:r>
      <w:r>
        <w:rPr>
          <w:rFonts w:hint="eastAsia" w:ascii="宋体" w:hAnsi="宋体" w:eastAsia="宋体" w:cs="宋体"/>
          <w:i w:val="0"/>
          <w:caps w:val="0"/>
          <w:color w:val="auto"/>
          <w:spacing w:val="0"/>
          <w:sz w:val="32"/>
          <w:szCs w:val="32"/>
          <w:shd w:val="clear" w:color="auto" w:fill="FFFFFF"/>
          <w:lang w:eastAsia="zh-CN"/>
        </w:rPr>
        <w:t>武汉市硚口区</w:t>
      </w:r>
      <w:r>
        <w:rPr>
          <w:rFonts w:hint="eastAsia" w:ascii="宋体" w:hAnsi="宋体" w:eastAsia="宋体" w:cs="宋体"/>
          <w:i w:val="0"/>
          <w:caps w:val="0"/>
          <w:color w:val="auto"/>
          <w:spacing w:val="0"/>
          <w:sz w:val="32"/>
          <w:szCs w:val="32"/>
          <w:shd w:val="clear" w:color="auto" w:fill="FFFFFF"/>
        </w:rPr>
        <w:t>人民政府网站、</w:t>
      </w:r>
      <w:r>
        <w:rPr>
          <w:rFonts w:hint="eastAsia" w:ascii="宋体" w:hAnsi="宋体" w:eastAsia="宋体" w:cs="宋体"/>
          <w:i w:val="0"/>
          <w:caps w:val="0"/>
          <w:color w:val="auto"/>
          <w:spacing w:val="0"/>
          <w:sz w:val="32"/>
          <w:szCs w:val="32"/>
          <w:shd w:val="clear" w:color="auto" w:fill="FFFFFF"/>
          <w:lang w:eastAsia="zh-CN"/>
        </w:rPr>
        <w:t>硚口发布</w:t>
      </w:r>
      <w:r>
        <w:rPr>
          <w:rFonts w:hint="eastAsia" w:ascii="宋体" w:hAnsi="宋体" w:eastAsia="宋体" w:cs="宋体"/>
          <w:i w:val="0"/>
          <w:caps w:val="0"/>
          <w:color w:val="auto"/>
          <w:spacing w:val="0"/>
          <w:sz w:val="32"/>
          <w:szCs w:val="32"/>
          <w:shd w:val="clear" w:color="auto" w:fill="FFFFFF"/>
          <w:lang w:val="en-US" w:eastAsia="zh-CN"/>
        </w:rPr>
        <w:t>APP客户端、硚口发布</w:t>
      </w:r>
      <w:r>
        <w:rPr>
          <w:rFonts w:hint="eastAsia" w:ascii="宋体" w:hAnsi="宋体" w:eastAsia="宋体" w:cs="宋体"/>
          <w:i w:val="0"/>
          <w:caps w:val="0"/>
          <w:color w:val="auto"/>
          <w:spacing w:val="0"/>
          <w:sz w:val="32"/>
          <w:szCs w:val="32"/>
          <w:shd w:val="clear" w:color="auto" w:fill="FFFFFF"/>
        </w:rPr>
        <w:t>微信公众号</w:t>
      </w:r>
      <w:r>
        <w:rPr>
          <w:rFonts w:hint="eastAsia" w:ascii="宋体" w:hAnsi="宋体" w:eastAsia="宋体" w:cs="宋体"/>
          <w:i w:val="0"/>
          <w:caps w:val="0"/>
          <w:color w:val="auto"/>
          <w:spacing w:val="0"/>
          <w:sz w:val="32"/>
          <w:szCs w:val="32"/>
          <w:shd w:val="clear" w:color="auto" w:fill="FFFFFF"/>
          <w:lang w:eastAsia="zh-CN"/>
        </w:rPr>
        <w:t>、硚口发布政务微博</w:t>
      </w:r>
      <w:r>
        <w:rPr>
          <w:rFonts w:hint="eastAsia" w:ascii="宋体" w:hAnsi="宋体" w:eastAsia="宋体" w:cs="宋体"/>
          <w:i w:val="0"/>
          <w:caps w:val="0"/>
          <w:color w:val="auto"/>
          <w:spacing w:val="0"/>
          <w:sz w:val="32"/>
          <w:szCs w:val="32"/>
          <w:shd w:val="clear" w:color="auto" w:fill="FFFFFF"/>
        </w:rPr>
        <w:t>以及</w:t>
      </w:r>
      <w:r>
        <w:rPr>
          <w:rFonts w:hint="eastAsia" w:ascii="宋体" w:hAnsi="宋体" w:eastAsia="宋体" w:cs="宋体"/>
          <w:i w:val="0"/>
          <w:caps w:val="0"/>
          <w:color w:val="auto"/>
          <w:spacing w:val="0"/>
          <w:sz w:val="32"/>
          <w:szCs w:val="32"/>
          <w:shd w:val="clear" w:color="auto" w:fill="FFFFFF"/>
          <w:lang w:eastAsia="zh-CN"/>
        </w:rPr>
        <w:t>手机小视频平台</w:t>
      </w:r>
      <w:r>
        <w:rPr>
          <w:rFonts w:hint="eastAsia" w:ascii="宋体" w:hAnsi="宋体" w:eastAsia="宋体" w:cs="宋体"/>
          <w:i w:val="0"/>
          <w:caps w:val="0"/>
          <w:color w:val="auto"/>
          <w:spacing w:val="0"/>
          <w:sz w:val="32"/>
          <w:szCs w:val="32"/>
          <w:shd w:val="clear" w:color="auto" w:fill="FFFFFF"/>
        </w:rPr>
        <w:t>等媒体。同时，及时向社会公布我单位开展各项活动情况，全面保障公众对我单位政务信息的知情权，方便公众利用有效的信息提高自身的生活水平。</w:t>
      </w:r>
    </w:p>
    <w:p>
      <w:pPr>
        <w:pStyle w:val="5"/>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both"/>
        <w:rPr>
          <w:rFonts w:hint="eastAsia" w:ascii="宋体" w:hAnsi="宋体" w:eastAsia="宋体" w:cs="宋体"/>
          <w:i w:val="0"/>
          <w:caps w:val="0"/>
          <w:color w:val="auto"/>
          <w:spacing w:val="0"/>
          <w:sz w:val="32"/>
          <w:szCs w:val="32"/>
        </w:rPr>
      </w:pPr>
      <w:r>
        <w:rPr>
          <w:rFonts w:hint="eastAsia" w:ascii="宋体" w:hAnsi="宋体" w:cs="宋体"/>
          <w:b/>
          <w:i w:val="0"/>
          <w:caps w:val="0"/>
          <w:color w:val="auto"/>
          <w:spacing w:val="0"/>
          <w:sz w:val="32"/>
          <w:szCs w:val="32"/>
          <w:shd w:val="clear" w:color="auto" w:fill="FFFFFF"/>
          <w:lang w:val="en-US" w:eastAsia="zh-CN"/>
        </w:rPr>
        <w:t xml:space="preserve">    （</w:t>
      </w:r>
      <w:r>
        <w:rPr>
          <w:rFonts w:hint="eastAsia" w:ascii="宋体" w:hAnsi="宋体" w:eastAsia="宋体" w:cs="宋体"/>
          <w:b/>
          <w:i w:val="0"/>
          <w:caps w:val="0"/>
          <w:color w:val="auto"/>
          <w:spacing w:val="0"/>
          <w:sz w:val="32"/>
          <w:szCs w:val="32"/>
          <w:shd w:val="clear" w:color="auto" w:fill="FFFFFF"/>
          <w:lang w:eastAsia="zh-CN"/>
        </w:rPr>
        <w:t>五</w:t>
      </w:r>
      <w:r>
        <w:rPr>
          <w:rFonts w:hint="eastAsia" w:ascii="宋体" w:hAnsi="宋体" w:eastAsia="宋体" w:cs="宋体"/>
          <w:b/>
          <w:i w:val="0"/>
          <w:caps w:val="0"/>
          <w:color w:val="auto"/>
          <w:spacing w:val="0"/>
          <w:sz w:val="32"/>
          <w:szCs w:val="32"/>
          <w:shd w:val="clear" w:color="auto" w:fill="FFFFFF"/>
        </w:rPr>
        <w:t>）监督保障</w:t>
      </w:r>
      <w:r>
        <w:rPr>
          <w:rFonts w:hint="eastAsia" w:ascii="宋体" w:hAnsi="宋体" w:eastAsia="宋体" w:cs="宋体"/>
          <w:b/>
          <w:i w:val="0"/>
          <w:caps w:val="0"/>
          <w:color w:val="auto"/>
          <w:spacing w:val="0"/>
          <w:sz w:val="32"/>
          <w:szCs w:val="32"/>
          <w:shd w:val="clear" w:color="auto" w:fill="FFFFFF"/>
          <w:lang w:eastAsia="zh-CN"/>
        </w:rPr>
        <w:t>情况。</w:t>
      </w:r>
      <w:r>
        <w:rPr>
          <w:rFonts w:hint="eastAsia" w:ascii="宋体" w:hAnsi="宋体" w:eastAsia="宋体" w:cs="宋体"/>
          <w:i w:val="0"/>
          <w:caps w:val="0"/>
          <w:color w:val="auto"/>
          <w:spacing w:val="0"/>
          <w:sz w:val="32"/>
          <w:szCs w:val="32"/>
          <w:shd w:val="clear" w:color="auto" w:fill="FFFFFF"/>
        </w:rPr>
        <w:t>安排专人对接，定期</w:t>
      </w:r>
      <w:r>
        <w:rPr>
          <w:rFonts w:hint="eastAsia" w:ascii="宋体" w:hAnsi="宋体" w:eastAsia="宋体" w:cs="宋体"/>
          <w:i w:val="0"/>
          <w:caps w:val="0"/>
          <w:color w:val="auto"/>
          <w:spacing w:val="0"/>
          <w:sz w:val="32"/>
          <w:szCs w:val="32"/>
          <w:shd w:val="clear" w:color="auto" w:fill="FFFFFF"/>
          <w:lang w:eastAsia="zh-CN"/>
        </w:rPr>
        <w:t>收集和报送</w:t>
      </w:r>
      <w:r>
        <w:rPr>
          <w:rFonts w:hint="eastAsia" w:ascii="宋体" w:hAnsi="宋体" w:eastAsia="宋体" w:cs="宋体"/>
          <w:i w:val="0"/>
          <w:caps w:val="0"/>
          <w:color w:val="auto"/>
          <w:spacing w:val="0"/>
          <w:sz w:val="32"/>
          <w:szCs w:val="32"/>
          <w:shd w:val="clear" w:color="auto" w:fill="FFFFFF"/>
        </w:rPr>
        <w:t>相关公开信息，确保各类政务信息分类别及时公开。信息平台由专人负责网站后台的正常运行和管理，明确管理人员职责，确保网站安全和正常运行，所有信息均严格按照“三审制度”对政务信息进行审核后公开。</w:t>
      </w:r>
    </w:p>
    <w:p>
      <w:pPr>
        <w:pStyle w:val="5"/>
        <w:widowControl/>
        <w:wordWrap/>
        <w:adjustRightInd/>
        <w:snapToGrid/>
        <w:spacing w:before="0" w:beforeAutospacing="0" w:after="0" w:afterAutospacing="0" w:line="360" w:lineRule="auto"/>
        <w:ind w:left="0" w:firstLine="640" w:firstLineChars="200"/>
        <w:jc w:val="both"/>
        <w:textAlignment w:val="auto"/>
        <w:rPr>
          <w:rFonts w:hint="eastAsia" w:ascii="宋体" w:hAnsi="宋体" w:eastAsia="宋体" w:cs="宋体"/>
          <w:b w:val="0"/>
          <w:bCs w:val="0"/>
          <w:color w:val="auto"/>
          <w:sz w:val="32"/>
          <w:szCs w:val="32"/>
        </w:rPr>
      </w:pPr>
      <w:r>
        <w:rPr>
          <w:rFonts w:hint="eastAsia" w:ascii="宋体" w:hAnsi="宋体" w:eastAsia="宋体" w:cs="宋体"/>
          <w:b/>
          <w:bCs/>
          <w:color w:val="auto"/>
          <w:sz w:val="32"/>
          <w:szCs w:val="32"/>
        </w:rPr>
        <w:t>二、主动公开政府信息情况</w:t>
      </w:r>
    </w:p>
    <w:p>
      <w:pPr>
        <w:pStyle w:val="5"/>
        <w:widowControl/>
        <w:wordWrap/>
        <w:adjustRightInd/>
        <w:snapToGrid/>
        <w:spacing w:before="0" w:beforeAutospacing="0" w:after="0" w:afterAutospacing="0" w:line="360" w:lineRule="auto"/>
        <w:ind w:left="0" w:firstLine="640" w:firstLineChars="200"/>
        <w:jc w:val="both"/>
        <w:textAlignment w:val="auto"/>
        <w:rPr>
          <w:rFonts w:hint="eastAsia" w:ascii="宋体" w:hAnsi="宋体" w:eastAsia="宋体" w:cs="宋体"/>
          <w:color w:val="auto"/>
          <w:sz w:val="32"/>
          <w:szCs w:val="32"/>
          <w:lang w:val="en-US" w:eastAsia="zh-CN"/>
        </w:rPr>
      </w:pPr>
      <w:r>
        <w:rPr>
          <w:rFonts w:hint="eastAsia" w:ascii="宋体" w:hAnsi="宋体" w:eastAsia="宋体" w:cs="宋体"/>
          <w:i w:val="0"/>
          <w:caps w:val="0"/>
          <w:color w:val="auto"/>
          <w:spacing w:val="0"/>
          <w:sz w:val="32"/>
          <w:szCs w:val="32"/>
          <w:shd w:val="clear" w:color="auto" w:fill="FFFFFF"/>
        </w:rPr>
        <w:t>202</w:t>
      </w:r>
      <w:r>
        <w:rPr>
          <w:rFonts w:hint="eastAsia" w:ascii="宋体" w:hAnsi="宋体" w:eastAsia="宋体" w:cs="宋体"/>
          <w:i w:val="0"/>
          <w:caps w:val="0"/>
          <w:color w:val="auto"/>
          <w:spacing w:val="0"/>
          <w:sz w:val="32"/>
          <w:szCs w:val="32"/>
          <w:shd w:val="clear" w:color="auto" w:fill="FFFFFF"/>
          <w:lang w:val="en-US" w:eastAsia="zh-CN"/>
        </w:rPr>
        <w:t>1</w:t>
      </w:r>
      <w:r>
        <w:rPr>
          <w:rFonts w:hint="eastAsia" w:ascii="宋体" w:hAnsi="宋体" w:eastAsia="宋体" w:cs="宋体"/>
          <w:i w:val="0"/>
          <w:caps w:val="0"/>
          <w:color w:val="auto"/>
          <w:spacing w:val="0"/>
          <w:sz w:val="32"/>
          <w:szCs w:val="32"/>
          <w:shd w:val="clear" w:color="auto" w:fill="FFFFFF"/>
        </w:rPr>
        <w:t>年，我中心锁定目标，努力做好新闻舆论引导任务，</w:t>
      </w:r>
      <w:r>
        <w:rPr>
          <w:rFonts w:hint="eastAsia" w:ascii="宋体" w:hAnsi="宋体" w:eastAsia="宋体" w:cs="宋体"/>
          <w:color w:val="auto"/>
          <w:sz w:val="32"/>
          <w:szCs w:val="32"/>
          <w:lang w:eastAsia="zh-CN"/>
        </w:rPr>
        <w:t>负责的“新闻发布会”栏目，</w:t>
      </w:r>
      <w:r>
        <w:rPr>
          <w:rFonts w:hint="eastAsia" w:ascii="宋体" w:hAnsi="宋体" w:eastAsia="宋体" w:cs="宋体"/>
          <w:color w:val="auto"/>
          <w:sz w:val="32"/>
          <w:szCs w:val="32"/>
        </w:rPr>
        <w:t>涉及本地区</w:t>
      </w:r>
      <w:r>
        <w:rPr>
          <w:rFonts w:hint="eastAsia" w:ascii="宋体" w:hAnsi="宋体" w:eastAsia="宋体" w:cs="宋体"/>
          <w:color w:val="auto"/>
          <w:sz w:val="32"/>
          <w:szCs w:val="32"/>
          <w:lang w:eastAsia="zh-CN"/>
        </w:rPr>
        <w:t>重大新闻事件、</w:t>
      </w:r>
      <w:r>
        <w:rPr>
          <w:rFonts w:hint="eastAsia" w:ascii="宋体" w:hAnsi="宋体" w:eastAsia="宋体" w:cs="宋体"/>
          <w:color w:val="auto"/>
          <w:sz w:val="32"/>
          <w:szCs w:val="32"/>
        </w:rPr>
        <w:t>重大政策、重要决策部署和重大突发事件等政务舆情</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信息更新和维护由专人负责，确保栏目内容充实并及时更新</w:t>
      </w:r>
      <w:r>
        <w:rPr>
          <w:rFonts w:hint="eastAsia" w:ascii="宋体" w:hAnsi="宋体" w:eastAsia="宋体" w:cs="宋体"/>
          <w:color w:val="auto"/>
          <w:sz w:val="32"/>
          <w:szCs w:val="32"/>
          <w:lang w:eastAsia="zh-CN"/>
        </w:rPr>
        <w:t>，全年共发布信息</w:t>
      </w:r>
      <w:r>
        <w:rPr>
          <w:rFonts w:hint="eastAsia" w:ascii="宋体" w:hAnsi="宋体" w:eastAsia="宋体" w:cs="宋体"/>
          <w:color w:val="auto"/>
          <w:sz w:val="32"/>
          <w:szCs w:val="32"/>
          <w:lang w:val="en-US" w:eastAsia="zh-CN"/>
        </w:rPr>
        <w:t>30条，</w:t>
      </w:r>
      <w:r>
        <w:rPr>
          <w:rFonts w:hint="eastAsia" w:ascii="宋体" w:hAnsi="宋体" w:eastAsia="宋体" w:cs="宋体"/>
          <w:color w:val="auto"/>
          <w:sz w:val="32"/>
          <w:szCs w:val="32"/>
        </w:rPr>
        <w:t>所发布的信息既有文字，又有图片</w:t>
      </w:r>
      <w:r>
        <w:rPr>
          <w:rFonts w:hint="eastAsia" w:ascii="宋体" w:hAnsi="宋体" w:eastAsia="宋体" w:cs="宋体"/>
          <w:color w:val="auto"/>
          <w:sz w:val="32"/>
          <w:szCs w:val="32"/>
          <w:lang w:eastAsia="zh-CN"/>
        </w:rPr>
        <w:t>，内容丰富</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结合中心职能，</w:t>
      </w:r>
      <w:r>
        <w:rPr>
          <w:rFonts w:hint="eastAsia" w:ascii="宋体" w:hAnsi="宋体" w:eastAsia="宋体" w:cs="宋体"/>
          <w:i w:val="0"/>
          <w:caps w:val="0"/>
          <w:color w:val="auto"/>
          <w:spacing w:val="0"/>
          <w:sz w:val="32"/>
          <w:szCs w:val="32"/>
          <w:shd w:val="clear" w:color="auto" w:fill="FFFFFF"/>
          <w:lang w:val="en-US" w:eastAsia="zh-CN"/>
        </w:rPr>
        <w:t>在硚口发布APP客户端、微信公众号、政务微博等</w:t>
      </w:r>
      <w:r>
        <w:rPr>
          <w:rFonts w:hint="eastAsia" w:ascii="宋体" w:hAnsi="宋体" w:eastAsia="宋体" w:cs="宋体"/>
          <w:i w:val="0"/>
          <w:caps w:val="0"/>
          <w:color w:val="auto"/>
          <w:spacing w:val="0"/>
          <w:sz w:val="32"/>
          <w:szCs w:val="32"/>
          <w:shd w:val="clear" w:color="auto" w:fill="FFFFFF"/>
        </w:rPr>
        <w:t>新媒体全平台发稿</w:t>
      </w:r>
      <w:r>
        <w:rPr>
          <w:rFonts w:hint="eastAsia" w:ascii="宋体" w:hAnsi="宋体" w:eastAsia="宋体" w:cs="宋体"/>
          <w:i w:val="0"/>
          <w:caps w:val="0"/>
          <w:color w:val="auto"/>
          <w:spacing w:val="0"/>
          <w:sz w:val="32"/>
          <w:szCs w:val="32"/>
          <w:shd w:val="clear" w:color="auto" w:fill="FFFFFF"/>
          <w:lang w:val="en-US" w:eastAsia="zh-CN"/>
        </w:rPr>
        <w:t>3856</w:t>
      </w:r>
      <w:r>
        <w:rPr>
          <w:rFonts w:hint="eastAsia" w:ascii="宋体" w:hAnsi="宋体" w:eastAsia="宋体" w:cs="宋体"/>
          <w:i w:val="0"/>
          <w:caps w:val="0"/>
          <w:color w:val="auto"/>
          <w:spacing w:val="0"/>
          <w:sz w:val="32"/>
          <w:szCs w:val="32"/>
          <w:shd w:val="clear" w:color="auto" w:fill="FFFFFF"/>
        </w:rPr>
        <w:t>条。</w:t>
      </w:r>
    </w:p>
    <w:tbl>
      <w:tblPr>
        <w:tblStyle w:val="7"/>
        <w:tblW w:w="8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42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rPr>
              <w:t>信息内容</w:t>
            </w:r>
          </w:p>
        </w:tc>
        <w:tc>
          <w:tcPr>
            <w:tcW w:w="2105"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rPr>
              <w:t>本年制发件数</w:t>
            </w:r>
          </w:p>
        </w:tc>
        <w:tc>
          <w:tcPr>
            <w:tcW w:w="2105" w:type="dxa"/>
            <w:tcBorders>
              <w:top w:val="single" w:color="auto" w:sz="8" w:space="0"/>
              <w:left w:val="nil"/>
              <w:bottom w:val="single" w:color="auto" w:sz="8" w:space="0"/>
              <w:right w:val="single" w:color="auto" w:sz="4"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rPr>
              <w:t>本年废止件数</w:t>
            </w:r>
          </w:p>
        </w:tc>
        <w:tc>
          <w:tcPr>
            <w:tcW w:w="2105"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rPr>
              <w:t>规章</w:t>
            </w:r>
          </w:p>
        </w:tc>
        <w:tc>
          <w:tcPr>
            <w:tcW w:w="210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cs="宋体"/>
                <w:color w:val="auto"/>
                <w:kern w:val="0"/>
                <w:sz w:val="21"/>
                <w:szCs w:val="21"/>
                <w:lang w:val="en-US" w:eastAsia="zh-CN"/>
              </w:rPr>
              <w:t>0</w:t>
            </w:r>
          </w:p>
        </w:tc>
        <w:tc>
          <w:tcPr>
            <w:tcW w:w="2105" w:type="dxa"/>
            <w:tcBorders>
              <w:top w:val="nil"/>
              <w:left w:val="nil"/>
              <w:bottom w:val="single" w:color="auto" w:sz="8" w:space="0"/>
              <w:right w:val="single" w:color="auto" w:sz="4"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cs="宋体"/>
                <w:color w:val="auto"/>
                <w:kern w:val="0"/>
                <w:sz w:val="21"/>
                <w:szCs w:val="21"/>
                <w:lang w:val="en-US" w:eastAsia="zh-CN"/>
              </w:rPr>
              <w:t>0</w:t>
            </w:r>
          </w:p>
        </w:tc>
        <w:tc>
          <w:tcPr>
            <w:tcW w:w="210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cs="Calibri"/>
                <w:color w:val="auto"/>
                <w:kern w:val="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rPr>
              <w:t>行政规范性文件</w:t>
            </w:r>
          </w:p>
        </w:tc>
        <w:tc>
          <w:tcPr>
            <w:tcW w:w="210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cs="宋体"/>
                <w:color w:val="auto"/>
                <w:kern w:val="0"/>
                <w:sz w:val="21"/>
                <w:szCs w:val="21"/>
                <w:lang w:val="en-US" w:eastAsia="zh-CN"/>
              </w:rPr>
              <w:t>0</w:t>
            </w:r>
          </w:p>
        </w:tc>
        <w:tc>
          <w:tcPr>
            <w:tcW w:w="2105" w:type="dxa"/>
            <w:tcBorders>
              <w:top w:val="nil"/>
              <w:left w:val="nil"/>
              <w:bottom w:val="single" w:color="auto" w:sz="8" w:space="0"/>
              <w:right w:val="single" w:color="auto" w:sz="4"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cs="宋体"/>
                <w:color w:val="auto"/>
                <w:kern w:val="0"/>
                <w:sz w:val="21"/>
                <w:szCs w:val="21"/>
                <w:lang w:val="en-US" w:eastAsia="zh-CN"/>
              </w:rPr>
              <w:t>0</w:t>
            </w:r>
          </w:p>
        </w:tc>
        <w:tc>
          <w:tcPr>
            <w:tcW w:w="210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cs="Calibri"/>
                <w:color w:val="auto"/>
                <w:kern w:val="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4"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rPr>
              <w:t>信息内容</w:t>
            </w:r>
          </w:p>
        </w:tc>
        <w:tc>
          <w:tcPr>
            <w:tcW w:w="631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single" w:color="auto" w:sz="8" w:space="0"/>
              <w:left w:val="single" w:color="auto" w:sz="8" w:space="0"/>
              <w:bottom w:val="single" w:color="auto" w:sz="8" w:space="0"/>
              <w:right w:val="single" w:color="auto" w:sz="4"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rPr>
              <w:t>行政许可</w:t>
            </w:r>
          </w:p>
        </w:tc>
        <w:tc>
          <w:tcPr>
            <w:tcW w:w="6315"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cs="Calibri"/>
                <w:color w:val="auto"/>
                <w:kern w:val="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sz w:val="21"/>
                <w:szCs w:val="21"/>
              </w:rPr>
            </w:pPr>
            <w:r>
              <w:rPr>
                <w:rFonts w:hint="eastAsia" w:ascii="宋体" w:hAnsi="宋体" w:eastAsia="宋体" w:cs="宋体"/>
                <w:color w:val="auto"/>
                <w:kern w:val="0"/>
                <w:sz w:val="21"/>
                <w:szCs w:val="21"/>
                <w:lang w:val="en-US" w:eastAsia="zh-CN"/>
              </w:rPr>
              <w:t>信息内容</w:t>
            </w:r>
          </w:p>
        </w:tc>
        <w:tc>
          <w:tcPr>
            <w:tcW w:w="6315"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sz w:val="21"/>
                <w:szCs w:val="21"/>
              </w:rPr>
            </w:pPr>
            <w:r>
              <w:rPr>
                <w:rFonts w:hint="eastAsia" w:ascii="宋体" w:hAnsi="宋体" w:eastAsia="宋体" w:cs="宋体"/>
                <w:color w:val="auto"/>
                <w:kern w:val="0"/>
                <w:sz w:val="21"/>
                <w:szCs w:val="21"/>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rPr>
              <w:t>行政处罚</w:t>
            </w:r>
          </w:p>
        </w:tc>
        <w:tc>
          <w:tcPr>
            <w:tcW w:w="631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cs="宋体"/>
                <w:color w:val="auto"/>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rPr>
              <w:t>行政强制</w:t>
            </w:r>
          </w:p>
        </w:tc>
        <w:tc>
          <w:tcPr>
            <w:tcW w:w="631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cs="宋体"/>
                <w:color w:val="auto"/>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rPr>
              <w:t>信息内容</w:t>
            </w:r>
          </w:p>
        </w:tc>
        <w:tc>
          <w:tcPr>
            <w:tcW w:w="6315" w:type="dxa"/>
            <w:gridSpan w:val="3"/>
            <w:tcBorders>
              <w:top w:val="nil"/>
              <w:left w:val="nil"/>
              <w:bottom w:val="single" w:color="auto" w:sz="8" w:space="0"/>
              <w:right w:val="single" w:color="000000"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rPr>
              <w:t>行政事业性收费</w:t>
            </w:r>
          </w:p>
        </w:tc>
        <w:tc>
          <w:tcPr>
            <w:tcW w:w="631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bl>
    <w:p>
      <w:pPr>
        <w:widowControl/>
        <w:jc w:val="left"/>
        <w:rPr>
          <w:color w:val="auto"/>
        </w:rPr>
      </w:pPr>
    </w:p>
    <w:p>
      <w:pPr>
        <w:pStyle w:val="5"/>
        <w:widowControl/>
        <w:wordWrap/>
        <w:adjustRightInd/>
        <w:snapToGrid/>
        <w:spacing w:before="0" w:beforeAutospacing="0" w:after="0" w:afterAutospacing="0" w:line="360" w:lineRule="auto"/>
        <w:ind w:left="0" w:firstLine="640" w:firstLineChars="200"/>
        <w:jc w:val="both"/>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三、收到和处理政府信息公开申请情况</w:t>
      </w:r>
    </w:p>
    <w:p>
      <w:pPr>
        <w:pStyle w:val="5"/>
        <w:widowControl/>
        <w:wordWrap/>
        <w:adjustRightInd/>
        <w:snapToGrid/>
        <w:spacing w:before="0" w:beforeAutospacing="0" w:after="0" w:afterAutospacing="0" w:line="360" w:lineRule="auto"/>
        <w:ind w:left="0" w:firstLine="640" w:firstLineChars="200"/>
        <w:jc w:val="both"/>
        <w:textAlignment w:val="auto"/>
        <w:rPr>
          <w:rFonts w:hint="eastAsia" w:ascii="宋体" w:hAnsi="宋体" w:eastAsia="宋体" w:cs="宋体"/>
          <w:i w:val="0"/>
          <w:caps w:val="0"/>
          <w:color w:val="auto"/>
          <w:spacing w:val="0"/>
          <w:sz w:val="32"/>
          <w:szCs w:val="32"/>
          <w:shd w:val="clear" w:color="auto" w:fill="FFFFFF"/>
        </w:rPr>
      </w:pPr>
      <w:r>
        <w:rPr>
          <w:rFonts w:hint="eastAsia" w:ascii="宋体" w:hAnsi="宋体" w:eastAsia="宋体" w:cs="宋体"/>
          <w:i w:val="0"/>
          <w:caps w:val="0"/>
          <w:color w:val="auto"/>
          <w:spacing w:val="0"/>
          <w:sz w:val="32"/>
          <w:szCs w:val="32"/>
          <w:shd w:val="clear" w:color="auto" w:fill="FFFFFF"/>
        </w:rPr>
        <w:t>202</w:t>
      </w:r>
      <w:r>
        <w:rPr>
          <w:rFonts w:hint="eastAsia" w:ascii="宋体" w:hAnsi="宋体" w:eastAsia="宋体" w:cs="宋体"/>
          <w:i w:val="0"/>
          <w:caps w:val="0"/>
          <w:color w:val="auto"/>
          <w:spacing w:val="0"/>
          <w:sz w:val="32"/>
          <w:szCs w:val="32"/>
          <w:shd w:val="clear" w:color="auto" w:fill="FFFFFF"/>
          <w:lang w:val="en-US" w:eastAsia="zh-CN"/>
        </w:rPr>
        <w:t>1</w:t>
      </w:r>
      <w:r>
        <w:rPr>
          <w:rFonts w:hint="eastAsia" w:ascii="宋体" w:hAnsi="宋体" w:eastAsia="宋体" w:cs="宋体"/>
          <w:i w:val="0"/>
          <w:caps w:val="0"/>
          <w:color w:val="auto"/>
          <w:spacing w:val="0"/>
          <w:sz w:val="32"/>
          <w:szCs w:val="32"/>
          <w:shd w:val="clear" w:color="auto" w:fill="FFFFFF"/>
        </w:rPr>
        <w:t>年度，我中心收到和处理政府信息公开申请0件。</w:t>
      </w:r>
    </w:p>
    <w:p>
      <w:pPr>
        <w:pStyle w:val="5"/>
        <w:widowControl/>
        <w:wordWrap/>
        <w:adjustRightInd/>
        <w:snapToGrid/>
        <w:spacing w:before="0" w:beforeAutospacing="0" w:after="0" w:afterAutospacing="0" w:line="360" w:lineRule="auto"/>
        <w:ind w:left="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pStyle w:val="5"/>
        <w:widowControl/>
        <w:wordWrap/>
        <w:adjustRightInd/>
        <w:snapToGrid/>
        <w:spacing w:before="0" w:beforeAutospacing="0" w:after="0" w:afterAutospacing="0" w:line="360" w:lineRule="auto"/>
        <w:ind w:left="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tbl>
      <w:tblPr>
        <w:tblStyle w:val="7"/>
        <w:tblW w:w="8469"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
      <w:tblGrid>
        <w:gridCol w:w="653"/>
        <w:gridCol w:w="798"/>
        <w:gridCol w:w="2847"/>
        <w:gridCol w:w="595"/>
        <w:gridCol w:w="595"/>
        <w:gridCol w:w="595"/>
        <w:gridCol w:w="595"/>
        <w:gridCol w:w="595"/>
        <w:gridCol w:w="600"/>
        <w:gridCol w:w="5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vMerge w:val="restart"/>
            <w:tcBorders>
              <w:top w:val="single" w:color="auto" w:sz="8" w:space="0"/>
              <w:left w:val="single" w:color="auto" w:sz="8" w:space="0"/>
              <w:bottom w:val="outset" w:color="auto" w:sz="6"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rPr>
            </w:pPr>
            <w:r>
              <w:rPr>
                <w:rFonts w:hint="eastAsia" w:ascii="楷体" w:hAnsi="楷体" w:eastAsia="楷体" w:cs="楷体"/>
                <w:color w:val="auto"/>
                <w:kern w:val="0"/>
                <w:sz w:val="20"/>
                <w:szCs w:val="20"/>
                <w:lang w:val="en-US" w:eastAsia="zh-CN"/>
              </w:rPr>
              <w:t>（本列数据的勾稽关系为：第一项加第二项之和，等于第三项加第四项之和）</w:t>
            </w:r>
          </w:p>
        </w:tc>
        <w:tc>
          <w:tcPr>
            <w:tcW w:w="4171" w:type="dxa"/>
            <w:gridSpan w:val="7"/>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vMerge w:val="continue"/>
            <w:tcBorders>
              <w:top w:val="single" w:color="auto" w:sz="8" w:space="0"/>
              <w:left w:val="single" w:color="auto" w:sz="8" w:space="0"/>
              <w:bottom w:val="outset" w:color="auto" w:sz="6" w:space="0"/>
              <w:right w:val="single" w:color="auto" w:sz="8" w:space="0"/>
            </w:tcBorders>
            <w:tcMar>
              <w:left w:w="108" w:type="dxa"/>
              <w:right w:w="108" w:type="dxa"/>
            </w:tcMar>
            <w:vAlign w:val="center"/>
          </w:tcPr>
          <w:p>
            <w:pPr>
              <w:jc w:val="left"/>
              <w:rPr>
                <w:rFonts w:hint="eastAsia" w:ascii="宋体" w:hAnsi="宋体" w:eastAsia="宋体" w:cs="宋体"/>
                <w:color w:val="auto"/>
                <w:sz w:val="21"/>
                <w:szCs w:val="21"/>
              </w:rPr>
            </w:pPr>
          </w:p>
        </w:tc>
        <w:tc>
          <w:tcPr>
            <w:tcW w:w="595" w:type="dxa"/>
            <w:vMerge w:val="restart"/>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自然人</w:t>
            </w:r>
          </w:p>
        </w:tc>
        <w:tc>
          <w:tcPr>
            <w:tcW w:w="2980" w:type="dxa"/>
            <w:gridSpan w:val="5"/>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法人或其他组织</w:t>
            </w:r>
          </w:p>
        </w:tc>
        <w:tc>
          <w:tcPr>
            <w:tcW w:w="596" w:type="dxa"/>
            <w:vMerge w:val="restart"/>
            <w:tcBorders>
              <w:top w:val="single" w:color="auto" w:sz="8" w:space="0"/>
              <w:left w:val="nil"/>
              <w:bottom w:val="outset" w:color="auto" w:sz="6"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vMerge w:val="continue"/>
            <w:tcBorders>
              <w:top w:val="single" w:color="auto" w:sz="8" w:space="0"/>
              <w:left w:val="single" w:color="auto" w:sz="8" w:space="0"/>
              <w:bottom w:val="outset" w:color="auto" w:sz="6" w:space="0"/>
              <w:right w:val="single" w:color="auto" w:sz="8" w:space="0"/>
            </w:tcBorders>
            <w:tcMar>
              <w:left w:w="108" w:type="dxa"/>
              <w:right w:w="108" w:type="dxa"/>
            </w:tcMar>
            <w:vAlign w:val="center"/>
          </w:tcPr>
          <w:p>
            <w:pPr>
              <w:jc w:val="left"/>
              <w:rPr>
                <w:rFonts w:hint="eastAsia" w:ascii="宋体" w:hAnsi="宋体" w:eastAsia="宋体" w:cs="宋体"/>
                <w:color w:val="auto"/>
                <w:sz w:val="21"/>
                <w:szCs w:val="21"/>
              </w:rPr>
            </w:pPr>
          </w:p>
        </w:tc>
        <w:tc>
          <w:tcPr>
            <w:tcW w:w="595" w:type="dxa"/>
            <w:vMerge w:val="continue"/>
            <w:tcBorders>
              <w:top w:val="nil"/>
              <w:left w:val="nil"/>
              <w:bottom w:val="single" w:color="auto" w:sz="8" w:space="0"/>
              <w:right w:val="single" w:color="auto" w:sz="8" w:space="0"/>
            </w:tcBorders>
            <w:vAlign w:val="center"/>
          </w:tcPr>
          <w:p>
            <w:pPr>
              <w:jc w:val="left"/>
              <w:rPr>
                <w:rFonts w:hint="eastAsia" w:ascii="宋体" w:hAnsi="宋体" w:eastAsia="宋体" w:cs="宋体"/>
                <w:color w:val="auto"/>
                <w:sz w:val="21"/>
                <w:szCs w:val="21"/>
              </w:rPr>
            </w:pP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right="0"/>
              <w:jc w:val="both"/>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right="0"/>
              <w:jc w:val="both"/>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企业</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right="0"/>
              <w:jc w:val="both"/>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right="0"/>
              <w:jc w:val="both"/>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机构</w:t>
            </w:r>
          </w:p>
        </w:tc>
        <w:tc>
          <w:tcPr>
            <w:tcW w:w="595"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社会公益组织</w:t>
            </w:r>
          </w:p>
        </w:tc>
        <w:tc>
          <w:tcPr>
            <w:tcW w:w="595"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法律服务机构</w:t>
            </w:r>
          </w:p>
        </w:tc>
        <w:tc>
          <w:tcPr>
            <w:tcW w:w="600"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其他</w:t>
            </w:r>
          </w:p>
        </w:tc>
        <w:tc>
          <w:tcPr>
            <w:tcW w:w="596" w:type="dxa"/>
            <w:vMerge w:val="continue"/>
            <w:tcBorders>
              <w:top w:val="single" w:color="auto" w:sz="8" w:space="0"/>
              <w:left w:val="nil"/>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tcBorders>
              <w:top w:val="nil"/>
              <w:left w:val="single" w:color="auto" w:sz="8" w:space="0"/>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一、本年新收政府信息公开申请数量</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tcBorders>
              <w:top w:val="nil"/>
              <w:left w:val="single" w:color="auto" w:sz="8" w:space="0"/>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二、上年结转政府信息公开申请数量</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restart"/>
            <w:tcBorders>
              <w:top w:val="nil"/>
              <w:left w:val="single" w:color="auto" w:sz="8" w:space="0"/>
              <w:bottom w:val="outset" w:color="auto" w:sz="6"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三、本年度办理结果</w:t>
            </w:r>
          </w:p>
        </w:tc>
        <w:tc>
          <w:tcPr>
            <w:tcW w:w="3645" w:type="dxa"/>
            <w:gridSpan w:val="2"/>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（一）予以公开</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3645" w:type="dxa"/>
            <w:gridSpan w:val="2"/>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（二）部分公开（区分处理的，只计这一情形，不计其他情形）</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798" w:type="dxa"/>
            <w:vMerge w:val="restart"/>
            <w:tcBorders>
              <w:top w:val="nil"/>
              <w:left w:val="nil"/>
              <w:bottom w:val="outset" w:color="auto" w:sz="6"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（三）不予公开</w:t>
            </w:r>
          </w:p>
        </w:tc>
        <w:tc>
          <w:tcPr>
            <w:tcW w:w="2847" w:type="dxa"/>
            <w:tcBorders>
              <w:top w:val="nil"/>
              <w:left w:val="nil"/>
              <w:bottom w:val="single" w:color="auto" w:sz="8" w:space="0"/>
              <w:right w:val="single" w:color="auto" w:sz="8"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1.属于国家秘密</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798" w:type="dxa"/>
            <w:vMerge w:val="continue"/>
            <w:tcBorders>
              <w:top w:val="nil"/>
              <w:left w:val="nil"/>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2847" w:type="dxa"/>
            <w:tcBorders>
              <w:top w:val="nil"/>
              <w:left w:val="nil"/>
              <w:bottom w:val="single" w:color="auto" w:sz="8" w:space="0"/>
              <w:right w:val="single" w:color="auto" w:sz="8"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2.其他法律行政法规禁止公开</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798" w:type="dxa"/>
            <w:vMerge w:val="continue"/>
            <w:tcBorders>
              <w:top w:val="nil"/>
              <w:left w:val="nil"/>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2847" w:type="dxa"/>
            <w:tcBorders>
              <w:top w:val="nil"/>
              <w:left w:val="nil"/>
              <w:bottom w:val="single" w:color="auto" w:sz="8" w:space="0"/>
              <w:right w:val="single" w:color="auto" w:sz="8"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3.危及“三安全一稳定”</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798" w:type="dxa"/>
            <w:vMerge w:val="continue"/>
            <w:tcBorders>
              <w:top w:val="nil"/>
              <w:left w:val="nil"/>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2847" w:type="dxa"/>
            <w:tcBorders>
              <w:top w:val="nil"/>
              <w:left w:val="nil"/>
              <w:bottom w:val="single" w:color="auto" w:sz="8" w:space="0"/>
              <w:right w:val="single" w:color="auto" w:sz="8"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4.保护第三方合法权益</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798" w:type="dxa"/>
            <w:vMerge w:val="continue"/>
            <w:tcBorders>
              <w:top w:val="nil"/>
              <w:left w:val="nil"/>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2847" w:type="dxa"/>
            <w:tcBorders>
              <w:top w:val="nil"/>
              <w:left w:val="nil"/>
              <w:bottom w:val="single" w:color="auto" w:sz="8" w:space="0"/>
              <w:right w:val="single" w:color="auto" w:sz="8"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5.属于三类内部事务信息</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798" w:type="dxa"/>
            <w:vMerge w:val="continue"/>
            <w:tcBorders>
              <w:top w:val="nil"/>
              <w:left w:val="nil"/>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2847" w:type="dxa"/>
            <w:tcBorders>
              <w:top w:val="nil"/>
              <w:left w:val="nil"/>
              <w:bottom w:val="single" w:color="auto" w:sz="8" w:space="0"/>
              <w:right w:val="single" w:color="auto" w:sz="8"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6.属于四类过程性信息</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798" w:type="dxa"/>
            <w:vMerge w:val="continue"/>
            <w:tcBorders>
              <w:top w:val="nil"/>
              <w:left w:val="nil"/>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2847" w:type="dxa"/>
            <w:tcBorders>
              <w:top w:val="nil"/>
              <w:left w:val="nil"/>
              <w:bottom w:val="single" w:color="auto" w:sz="8" w:space="0"/>
              <w:right w:val="single" w:color="auto" w:sz="8"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7.属于行政执法案卷</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798" w:type="dxa"/>
            <w:vMerge w:val="continue"/>
            <w:tcBorders>
              <w:top w:val="nil"/>
              <w:left w:val="nil"/>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2847" w:type="dxa"/>
            <w:tcBorders>
              <w:top w:val="nil"/>
              <w:left w:val="nil"/>
              <w:bottom w:val="single" w:color="auto" w:sz="8" w:space="0"/>
              <w:right w:val="single" w:color="auto" w:sz="8"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8.属于行政查询事项</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798" w:type="dxa"/>
            <w:vMerge w:val="restart"/>
            <w:tcBorders>
              <w:top w:val="nil"/>
              <w:left w:val="nil"/>
              <w:bottom w:val="outset" w:color="auto" w:sz="6"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（四）无法提供</w:t>
            </w:r>
          </w:p>
        </w:tc>
        <w:tc>
          <w:tcPr>
            <w:tcW w:w="2847" w:type="dxa"/>
            <w:tcBorders>
              <w:top w:val="nil"/>
              <w:left w:val="nil"/>
              <w:bottom w:val="single" w:color="auto" w:sz="8" w:space="0"/>
              <w:right w:val="single" w:color="auto" w:sz="8"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1.本机关不掌握相关政府信息</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798" w:type="dxa"/>
            <w:vMerge w:val="continue"/>
            <w:tcBorders>
              <w:top w:val="nil"/>
              <w:left w:val="nil"/>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2847" w:type="dxa"/>
            <w:tcBorders>
              <w:top w:val="nil"/>
              <w:left w:val="nil"/>
              <w:bottom w:val="single" w:color="auto" w:sz="8" w:space="0"/>
              <w:right w:val="single" w:color="auto" w:sz="8"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2.没有现成信息需要另行制作</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798" w:type="dxa"/>
            <w:vMerge w:val="continue"/>
            <w:tcBorders>
              <w:top w:val="nil"/>
              <w:left w:val="nil"/>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2847" w:type="dxa"/>
            <w:tcBorders>
              <w:top w:val="nil"/>
              <w:left w:val="nil"/>
              <w:bottom w:val="single" w:color="auto" w:sz="8" w:space="0"/>
              <w:right w:val="single" w:color="auto" w:sz="8"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3.补正后申请内容仍不明确</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798" w:type="dxa"/>
            <w:vMerge w:val="restart"/>
            <w:tcBorders>
              <w:top w:val="nil"/>
              <w:left w:val="nil"/>
              <w:bottom w:val="outset" w:color="auto" w:sz="6"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（五）不予处理</w:t>
            </w:r>
          </w:p>
        </w:tc>
        <w:tc>
          <w:tcPr>
            <w:tcW w:w="2847" w:type="dxa"/>
            <w:tcBorders>
              <w:top w:val="nil"/>
              <w:left w:val="nil"/>
              <w:bottom w:val="single" w:color="auto" w:sz="8" w:space="0"/>
              <w:right w:val="single" w:color="auto" w:sz="8"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1.信访举报投诉类申请</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798" w:type="dxa"/>
            <w:vMerge w:val="continue"/>
            <w:tcBorders>
              <w:top w:val="nil"/>
              <w:left w:val="nil"/>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2847" w:type="dxa"/>
            <w:tcBorders>
              <w:top w:val="single" w:color="auto" w:sz="8" w:space="0"/>
              <w:left w:val="nil"/>
              <w:bottom w:val="single" w:color="auto" w:sz="8" w:space="0"/>
              <w:right w:val="single" w:color="auto" w:sz="8"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2.重复申请</w:t>
            </w:r>
          </w:p>
        </w:tc>
        <w:tc>
          <w:tcPr>
            <w:tcW w:w="595"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798" w:type="dxa"/>
            <w:vMerge w:val="continue"/>
            <w:tcBorders>
              <w:top w:val="nil"/>
              <w:left w:val="nil"/>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2847" w:type="dxa"/>
            <w:tcBorders>
              <w:top w:val="single" w:color="auto" w:sz="8" w:space="0"/>
              <w:left w:val="nil"/>
              <w:bottom w:val="single" w:color="auto" w:sz="8" w:space="0"/>
              <w:right w:val="single" w:color="auto" w:sz="8"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3.要求提供公开出版物</w:t>
            </w:r>
          </w:p>
        </w:tc>
        <w:tc>
          <w:tcPr>
            <w:tcW w:w="595"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798" w:type="dxa"/>
            <w:vMerge w:val="continue"/>
            <w:tcBorders>
              <w:top w:val="nil"/>
              <w:left w:val="nil"/>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2847" w:type="dxa"/>
            <w:tcBorders>
              <w:top w:val="single" w:color="auto" w:sz="8" w:space="0"/>
              <w:left w:val="nil"/>
              <w:bottom w:val="single" w:color="auto" w:sz="8" w:space="0"/>
              <w:right w:val="single" w:color="auto" w:sz="8"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4.无正当理由大量反复申请</w:t>
            </w:r>
          </w:p>
        </w:tc>
        <w:tc>
          <w:tcPr>
            <w:tcW w:w="595"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single" w:color="auto" w:sz="8" w:space="0"/>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trHeight w:val="779" w:hRule="atLeast"/>
          <w:jc w:val="center"/>
        </w:trPr>
        <w:tc>
          <w:tcPr>
            <w:tcW w:w="653" w:type="dxa"/>
            <w:vMerge w:val="continue"/>
            <w:tcBorders>
              <w:top w:val="nil"/>
              <w:left w:val="single" w:color="auto" w:sz="8" w:space="0"/>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798" w:type="dxa"/>
            <w:vMerge w:val="continue"/>
            <w:tcBorders>
              <w:top w:val="nil"/>
              <w:left w:val="nil"/>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2847" w:type="dxa"/>
            <w:tcBorders>
              <w:top w:val="nil"/>
              <w:left w:val="nil"/>
              <w:bottom w:val="outset" w:color="auto" w:sz="6"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5.要求行政机关确认或重新出具已获取信息</w:t>
            </w:r>
          </w:p>
        </w:tc>
        <w:tc>
          <w:tcPr>
            <w:tcW w:w="595" w:type="dxa"/>
            <w:tcBorders>
              <w:top w:val="nil"/>
              <w:left w:val="nil"/>
              <w:bottom w:val="outset" w:color="auto" w:sz="6"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outset" w:color="auto" w:sz="6"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outset" w:color="auto" w:sz="6"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outset" w:color="auto" w:sz="6"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outset" w:color="auto" w:sz="6"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nil"/>
              <w:left w:val="nil"/>
              <w:bottom w:val="outset" w:color="auto" w:sz="6"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nil"/>
              <w:left w:val="nil"/>
              <w:bottom w:val="outset" w:color="auto" w:sz="6"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798" w:type="dxa"/>
            <w:vMerge w:val="restart"/>
            <w:tcBorders>
              <w:top w:val="outset" w:color="auto" w:sz="6" w:space="0"/>
              <w:left w:val="nil"/>
              <w:bottom w:val="outset" w:color="auto" w:sz="6"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（六）其他处理</w:t>
            </w:r>
          </w:p>
        </w:tc>
        <w:tc>
          <w:tcPr>
            <w:tcW w:w="2847"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1.申请人无正当理由逾期不补正、行政机关不再处理其政府信息公开申请</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798" w:type="dxa"/>
            <w:vMerge w:val="continue"/>
            <w:tcBorders>
              <w:top w:val="outset" w:color="auto" w:sz="6" w:space="0"/>
              <w:left w:val="nil"/>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2847"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2.申请人逾期未按收费通知要求缴纳费用、行政机关不再处理其政府信息公开申请</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798" w:type="dxa"/>
            <w:vMerge w:val="continue"/>
            <w:tcBorders>
              <w:top w:val="outset" w:color="auto" w:sz="6" w:space="0"/>
              <w:left w:val="nil"/>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2847"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3.其他</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vAlign w:val="center"/>
          </w:tcPr>
          <w:p>
            <w:pPr>
              <w:jc w:val="left"/>
              <w:rPr>
                <w:rFonts w:hint="eastAsia" w:ascii="宋体" w:hAnsi="宋体" w:eastAsia="宋体" w:cs="宋体"/>
                <w:color w:val="auto"/>
                <w:sz w:val="21"/>
                <w:szCs w:val="21"/>
              </w:rPr>
            </w:pPr>
          </w:p>
        </w:tc>
        <w:tc>
          <w:tcPr>
            <w:tcW w:w="3645" w:type="dxa"/>
            <w:gridSpan w:val="2"/>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（七）总计</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tcBorders>
              <w:top w:val="nil"/>
              <w:left w:val="single" w:color="auto" w:sz="8" w:space="0"/>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四、结转下年度继续办理</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595"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c>
          <w:tcPr>
            <w:tcW w:w="600"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en-US" w:eastAsia="zh-CN"/>
              </w:rPr>
              <w:t> </w:t>
            </w:r>
          </w:p>
        </w:tc>
        <w:tc>
          <w:tcPr>
            <w:tcW w:w="596" w:type="dxa"/>
            <w:tcBorders>
              <w:top w:val="nil"/>
              <w:left w:val="nil"/>
              <w:bottom w:val="single" w:color="auto" w:sz="8" w:space="0"/>
              <w:right w:val="single" w:color="auto" w:sz="8"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 </w:t>
            </w:r>
            <w:r>
              <w:rPr>
                <w:rFonts w:hint="eastAsia" w:ascii="宋体" w:hAnsi="宋体" w:cs="宋体"/>
                <w:color w:val="auto"/>
                <w:kern w:val="0"/>
                <w:sz w:val="21"/>
                <w:szCs w:val="21"/>
                <w:lang w:val="en-US" w:eastAsia="zh-CN"/>
              </w:rPr>
              <w:t>0</w:t>
            </w:r>
          </w:p>
        </w:tc>
      </w:tr>
    </w:tbl>
    <w:p>
      <w:pPr>
        <w:pStyle w:val="5"/>
        <w:widowControl/>
        <w:numPr>
          <w:numId w:val="0"/>
        </w:numPr>
        <w:wordWrap/>
        <w:adjustRightInd/>
        <w:snapToGrid/>
        <w:spacing w:before="0" w:beforeAutospacing="0" w:after="0" w:afterAutospacing="0" w:line="360" w:lineRule="auto"/>
        <w:ind w:leftChars="200" w:right="0"/>
        <w:jc w:val="both"/>
        <w:textAlignment w:val="auto"/>
        <w:rPr>
          <w:rFonts w:hint="eastAsia" w:ascii="黑体" w:hAnsi="黑体" w:eastAsia="黑体" w:cs="黑体"/>
          <w:b w:val="0"/>
          <w:bCs w:val="0"/>
          <w:color w:val="auto"/>
          <w:sz w:val="32"/>
          <w:szCs w:val="32"/>
        </w:rPr>
      </w:pPr>
    </w:p>
    <w:p>
      <w:pPr>
        <w:pStyle w:val="5"/>
        <w:widowControl/>
        <w:numPr>
          <w:numId w:val="0"/>
        </w:numPr>
        <w:wordWrap/>
        <w:adjustRightInd/>
        <w:snapToGrid/>
        <w:spacing w:before="0" w:beforeAutospacing="0" w:after="0" w:afterAutospacing="0" w:line="360" w:lineRule="auto"/>
        <w:ind w:leftChars="200" w:right="0"/>
        <w:jc w:val="both"/>
        <w:textAlignment w:val="auto"/>
        <w:rPr>
          <w:rFonts w:hint="eastAsia" w:ascii="黑体" w:hAnsi="黑体" w:eastAsia="黑体" w:cs="黑体"/>
          <w:b w:val="0"/>
          <w:bCs w:val="0"/>
          <w:color w:val="auto"/>
          <w:sz w:val="32"/>
          <w:szCs w:val="32"/>
        </w:rPr>
      </w:pPr>
    </w:p>
    <w:p>
      <w:pPr>
        <w:pStyle w:val="5"/>
        <w:widowControl/>
        <w:numPr>
          <w:numId w:val="0"/>
        </w:numPr>
        <w:wordWrap/>
        <w:adjustRightInd/>
        <w:snapToGrid/>
        <w:spacing w:before="0" w:beforeAutospacing="0" w:after="0" w:afterAutospacing="0" w:line="360" w:lineRule="auto"/>
        <w:ind w:right="0"/>
        <w:jc w:val="both"/>
        <w:textAlignment w:val="auto"/>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 xml:space="preserve">    </w:t>
      </w:r>
      <w:r>
        <w:rPr>
          <w:rFonts w:hint="eastAsia" w:ascii="宋体" w:hAnsi="宋体" w:eastAsia="宋体" w:cs="宋体"/>
          <w:b/>
          <w:bCs/>
          <w:color w:val="auto"/>
          <w:sz w:val="32"/>
          <w:szCs w:val="32"/>
          <w:lang w:eastAsia="zh-CN"/>
        </w:rPr>
        <w:t>四、</w:t>
      </w:r>
      <w:r>
        <w:rPr>
          <w:rFonts w:hint="eastAsia" w:ascii="宋体" w:hAnsi="宋体" w:eastAsia="宋体" w:cs="宋体"/>
          <w:b/>
          <w:bCs/>
          <w:color w:val="auto"/>
          <w:sz w:val="32"/>
          <w:szCs w:val="32"/>
        </w:rPr>
        <w:t>政府信息公开行政复议、行政诉讼情况</w:t>
      </w:r>
    </w:p>
    <w:p>
      <w:pPr>
        <w:pStyle w:val="5"/>
        <w:widowControl/>
        <w:numPr>
          <w:numId w:val="0"/>
        </w:numPr>
        <w:wordWrap/>
        <w:adjustRightInd/>
        <w:snapToGrid/>
        <w:spacing w:before="0" w:beforeAutospacing="0" w:after="0" w:afterAutospacing="0" w:line="360" w:lineRule="auto"/>
        <w:ind w:right="0" w:firstLine="0" w:firstLineChars="200"/>
        <w:jc w:val="both"/>
        <w:textAlignment w:val="auto"/>
        <w:rPr>
          <w:rFonts w:hint="eastAsia" w:ascii="宋体" w:hAnsi="宋体" w:eastAsia="宋体" w:cs="宋体"/>
          <w:color w:val="auto"/>
          <w:sz w:val="32"/>
          <w:szCs w:val="32"/>
          <w:lang w:val="en-US" w:eastAsia="zh-CN"/>
        </w:rPr>
      </w:pPr>
      <w:r>
        <w:rPr>
          <w:rFonts w:hint="eastAsia" w:ascii="宋体" w:hAnsi="宋体" w:eastAsia="宋体" w:cs="宋体"/>
          <w:i w:val="0"/>
          <w:caps w:val="0"/>
          <w:color w:val="auto"/>
          <w:spacing w:val="0"/>
          <w:sz w:val="32"/>
          <w:szCs w:val="32"/>
          <w:shd w:val="clear" w:color="auto" w:fill="FFFFFF"/>
        </w:rPr>
        <w:t>202</w:t>
      </w:r>
      <w:r>
        <w:rPr>
          <w:rFonts w:hint="eastAsia" w:ascii="宋体" w:hAnsi="宋体" w:eastAsia="宋体" w:cs="宋体"/>
          <w:i w:val="0"/>
          <w:caps w:val="0"/>
          <w:color w:val="auto"/>
          <w:spacing w:val="0"/>
          <w:sz w:val="32"/>
          <w:szCs w:val="32"/>
          <w:shd w:val="clear" w:color="auto" w:fill="FFFFFF"/>
          <w:lang w:val="en-US" w:eastAsia="zh-CN"/>
        </w:rPr>
        <w:t>1</w:t>
      </w:r>
      <w:r>
        <w:rPr>
          <w:rFonts w:hint="eastAsia" w:ascii="宋体" w:hAnsi="宋体" w:eastAsia="宋体" w:cs="宋体"/>
          <w:i w:val="0"/>
          <w:caps w:val="0"/>
          <w:color w:val="auto"/>
          <w:spacing w:val="0"/>
          <w:sz w:val="32"/>
          <w:szCs w:val="32"/>
          <w:shd w:val="clear" w:color="auto" w:fill="FFFFFF"/>
        </w:rPr>
        <w:t>年度，我中心严格按照《中华人民共和国政府信息公开条例》规定公开政府信息，没有因政府信息公开申请行政复议、诉讼和申诉的情况发生。</w:t>
      </w:r>
    </w:p>
    <w:tbl>
      <w:tblPr>
        <w:tblStyle w:val="7"/>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4" w:type="dxa"/>
            <w:gridSpan w:val="5"/>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宋体" w:hAnsi="宋体" w:eastAsia="宋体" w:cs="宋体"/>
                <w:color w:val="auto"/>
                <w:kern w:val="0"/>
                <w:sz w:val="20"/>
                <w:szCs w:val="20"/>
                <w:lang w:val="en-US" w:eastAsia="zh-CN"/>
              </w:rPr>
              <w:t>行政复议</w:t>
            </w:r>
          </w:p>
        </w:tc>
        <w:tc>
          <w:tcPr>
            <w:tcW w:w="5686" w:type="dxa"/>
            <w:gridSpan w:val="10"/>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宋体" w:hAnsi="宋体" w:eastAsia="宋体" w:cs="宋体"/>
                <w:color w:val="auto"/>
                <w:kern w:val="0"/>
                <w:sz w:val="20"/>
                <w:szCs w:val="20"/>
                <w:lang w:val="en-US"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Merge w:val="restart"/>
            <w:tcBorders>
              <w:top w:val="nil"/>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宋体" w:hAnsi="宋体" w:eastAsia="宋体" w:cs="宋体"/>
                <w:color w:val="auto"/>
                <w:kern w:val="0"/>
                <w:sz w:val="20"/>
                <w:szCs w:val="20"/>
                <w:lang w:val="en-US" w:eastAsia="zh-CN"/>
              </w:rPr>
              <w:t>结果维持</w:t>
            </w:r>
          </w:p>
        </w:tc>
        <w:tc>
          <w:tcPr>
            <w:tcW w:w="565" w:type="dxa"/>
            <w:vMerge w:val="restart"/>
            <w:tcBorders>
              <w:top w:val="nil"/>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r>
            <w:r>
              <w:rPr>
                <w:rFonts w:hint="eastAsia" w:ascii="宋体" w:hAnsi="宋体" w:eastAsia="宋体" w:cs="宋体"/>
                <w:color w:val="auto"/>
                <w:kern w:val="0"/>
                <w:sz w:val="20"/>
                <w:szCs w:val="20"/>
                <w:lang w:val="en-US" w:eastAsia="zh-CN"/>
              </w:rPr>
              <w:t>纠正</w:t>
            </w:r>
          </w:p>
        </w:tc>
        <w:tc>
          <w:tcPr>
            <w:tcW w:w="565" w:type="dxa"/>
            <w:vMerge w:val="restart"/>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宋体" w:hAnsi="宋体" w:eastAsia="宋体" w:cs="宋体"/>
                <w:color w:val="auto"/>
                <w:kern w:val="0"/>
                <w:sz w:val="20"/>
                <w:szCs w:val="20"/>
                <w:lang w:val="en-US" w:eastAsia="zh-CN"/>
              </w:rPr>
              <w:t>其他</w:t>
            </w:r>
            <w:r>
              <w:rPr>
                <w:rFonts w:hint="eastAsia" w:ascii="宋体" w:hAnsi="宋体" w:eastAsia="宋体" w:cs="宋体"/>
                <w:color w:val="auto"/>
                <w:kern w:val="0"/>
                <w:sz w:val="20"/>
                <w:szCs w:val="20"/>
                <w:lang w:val="en-US" w:eastAsia="zh-CN"/>
              </w:rPr>
              <w:br/>
            </w:r>
            <w:r>
              <w:rPr>
                <w:rFonts w:hint="eastAsia" w:ascii="宋体" w:hAnsi="宋体" w:eastAsia="宋体" w:cs="宋体"/>
                <w:color w:val="auto"/>
                <w:kern w:val="0"/>
                <w:sz w:val="20"/>
                <w:szCs w:val="20"/>
                <w:lang w:val="en-US" w:eastAsia="zh-CN"/>
              </w:rPr>
              <w:t>结果</w:t>
            </w:r>
          </w:p>
        </w:tc>
        <w:tc>
          <w:tcPr>
            <w:tcW w:w="565" w:type="dxa"/>
            <w:vMerge w:val="restart"/>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宋体" w:hAnsi="宋体" w:eastAsia="宋体" w:cs="宋体"/>
                <w:color w:val="auto"/>
                <w:kern w:val="0"/>
                <w:sz w:val="20"/>
                <w:szCs w:val="20"/>
                <w:lang w:val="en-US" w:eastAsia="zh-CN"/>
              </w:rPr>
              <w:t>尚未</w:t>
            </w:r>
            <w:r>
              <w:rPr>
                <w:rFonts w:hint="eastAsia" w:ascii="宋体" w:hAnsi="宋体" w:eastAsia="宋体" w:cs="宋体"/>
                <w:color w:val="auto"/>
                <w:kern w:val="0"/>
                <w:sz w:val="20"/>
                <w:szCs w:val="20"/>
                <w:lang w:val="en-US" w:eastAsia="zh-CN"/>
              </w:rPr>
              <w:br/>
            </w:r>
            <w:r>
              <w:rPr>
                <w:rFonts w:hint="eastAsia" w:ascii="宋体" w:hAnsi="宋体" w:eastAsia="宋体" w:cs="宋体"/>
                <w:color w:val="auto"/>
                <w:kern w:val="0"/>
                <w:sz w:val="20"/>
                <w:szCs w:val="20"/>
                <w:lang w:val="en-US" w:eastAsia="zh-CN"/>
              </w:rPr>
              <w:t>审结</w:t>
            </w:r>
          </w:p>
        </w:tc>
        <w:tc>
          <w:tcPr>
            <w:tcW w:w="574" w:type="dxa"/>
            <w:vMerge w:val="restart"/>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宋体" w:hAnsi="宋体" w:eastAsia="宋体" w:cs="宋体"/>
                <w:color w:val="auto"/>
                <w:kern w:val="0"/>
                <w:sz w:val="20"/>
                <w:szCs w:val="20"/>
                <w:lang w:val="en-US" w:eastAsia="zh-CN"/>
              </w:rPr>
              <w:t>总计</w:t>
            </w:r>
          </w:p>
        </w:tc>
        <w:tc>
          <w:tcPr>
            <w:tcW w:w="2841" w:type="dxa"/>
            <w:gridSpan w:val="5"/>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宋体" w:hAnsi="宋体" w:eastAsia="宋体" w:cs="宋体"/>
                <w:color w:val="auto"/>
                <w:kern w:val="0"/>
                <w:sz w:val="20"/>
                <w:szCs w:val="20"/>
                <w:lang w:val="en-US" w:eastAsia="zh-CN"/>
              </w:rPr>
              <w:t>未经复议直接起诉</w:t>
            </w:r>
          </w:p>
        </w:tc>
        <w:tc>
          <w:tcPr>
            <w:tcW w:w="2845" w:type="dxa"/>
            <w:gridSpan w:val="5"/>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宋体" w:hAnsi="宋体" w:eastAsia="宋体" w:cs="宋体"/>
                <w:color w:val="auto"/>
                <w:kern w:val="0"/>
                <w:sz w:val="20"/>
                <w:szCs w:val="20"/>
                <w:lang w:val="en-US"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Merge w:val="continue"/>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1"/>
                <w:szCs w:val="21"/>
              </w:rPr>
            </w:pPr>
          </w:p>
        </w:tc>
        <w:tc>
          <w:tcPr>
            <w:tcW w:w="565" w:type="dxa"/>
            <w:vMerge w:val="continue"/>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1"/>
                <w:szCs w:val="21"/>
              </w:rPr>
            </w:pPr>
          </w:p>
        </w:tc>
        <w:tc>
          <w:tcPr>
            <w:tcW w:w="56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1"/>
                <w:szCs w:val="21"/>
              </w:rPr>
            </w:pPr>
          </w:p>
        </w:tc>
        <w:tc>
          <w:tcPr>
            <w:tcW w:w="56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1"/>
                <w:szCs w:val="21"/>
              </w:rPr>
            </w:pPr>
          </w:p>
        </w:tc>
        <w:tc>
          <w:tcPr>
            <w:tcW w:w="57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1"/>
                <w:szCs w:val="21"/>
              </w:rPr>
            </w:pPr>
          </w:p>
        </w:tc>
        <w:tc>
          <w:tcPr>
            <w:tcW w:w="566"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r>
            <w:r>
              <w:rPr>
                <w:rFonts w:hint="eastAsia" w:ascii="宋体" w:hAnsi="宋体" w:eastAsia="宋体" w:cs="宋体"/>
                <w:color w:val="auto"/>
                <w:kern w:val="0"/>
                <w:sz w:val="20"/>
                <w:szCs w:val="20"/>
                <w:lang w:val="en-US" w:eastAsia="zh-CN"/>
              </w:rPr>
              <w:t>维持</w:t>
            </w:r>
          </w:p>
        </w:tc>
        <w:tc>
          <w:tcPr>
            <w:tcW w:w="566"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r>
            <w:r>
              <w:rPr>
                <w:rFonts w:hint="eastAsia" w:ascii="宋体" w:hAnsi="宋体" w:eastAsia="宋体" w:cs="宋体"/>
                <w:color w:val="auto"/>
                <w:kern w:val="0"/>
                <w:sz w:val="20"/>
                <w:szCs w:val="20"/>
                <w:lang w:val="en-US" w:eastAsia="zh-CN"/>
              </w:rPr>
              <w:t>纠正</w:t>
            </w:r>
          </w:p>
        </w:tc>
        <w:tc>
          <w:tcPr>
            <w:tcW w:w="56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宋体" w:hAnsi="宋体" w:eastAsia="宋体" w:cs="宋体"/>
                <w:color w:val="auto"/>
                <w:kern w:val="0"/>
                <w:sz w:val="20"/>
                <w:szCs w:val="20"/>
                <w:lang w:val="en-US" w:eastAsia="zh-CN"/>
              </w:rPr>
              <w:t>其他</w:t>
            </w:r>
            <w:r>
              <w:rPr>
                <w:rFonts w:hint="eastAsia" w:ascii="宋体" w:hAnsi="宋体" w:eastAsia="宋体" w:cs="宋体"/>
                <w:color w:val="auto"/>
                <w:kern w:val="0"/>
                <w:sz w:val="20"/>
                <w:szCs w:val="20"/>
                <w:lang w:val="en-US" w:eastAsia="zh-CN"/>
              </w:rPr>
              <w:br/>
            </w:r>
            <w:r>
              <w:rPr>
                <w:rFonts w:hint="eastAsia" w:ascii="宋体" w:hAnsi="宋体" w:eastAsia="宋体" w:cs="宋体"/>
                <w:color w:val="auto"/>
                <w:kern w:val="0"/>
                <w:sz w:val="20"/>
                <w:szCs w:val="20"/>
                <w:lang w:val="en-US" w:eastAsia="zh-CN"/>
              </w:rPr>
              <w:t>结果</w:t>
            </w:r>
          </w:p>
        </w:tc>
        <w:tc>
          <w:tcPr>
            <w:tcW w:w="56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宋体" w:hAnsi="宋体" w:eastAsia="宋体" w:cs="宋体"/>
                <w:color w:val="auto"/>
                <w:kern w:val="0"/>
                <w:sz w:val="20"/>
                <w:szCs w:val="20"/>
                <w:lang w:val="en-US" w:eastAsia="zh-CN"/>
              </w:rPr>
              <w:t>尚未</w:t>
            </w:r>
            <w:r>
              <w:rPr>
                <w:rFonts w:hint="eastAsia" w:ascii="宋体" w:hAnsi="宋体" w:eastAsia="宋体" w:cs="宋体"/>
                <w:color w:val="auto"/>
                <w:kern w:val="0"/>
                <w:sz w:val="20"/>
                <w:szCs w:val="20"/>
                <w:lang w:val="en-US" w:eastAsia="zh-CN"/>
              </w:rPr>
              <w:br/>
            </w:r>
            <w:r>
              <w:rPr>
                <w:rFonts w:hint="eastAsia" w:ascii="宋体" w:hAnsi="宋体" w:eastAsia="宋体" w:cs="宋体"/>
                <w:color w:val="auto"/>
                <w:kern w:val="0"/>
                <w:sz w:val="20"/>
                <w:szCs w:val="20"/>
                <w:lang w:val="en-US" w:eastAsia="zh-CN"/>
              </w:rPr>
              <w:t>审结</w:t>
            </w:r>
          </w:p>
        </w:tc>
        <w:tc>
          <w:tcPr>
            <w:tcW w:w="573"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宋体" w:hAnsi="宋体" w:eastAsia="宋体" w:cs="宋体"/>
                <w:color w:val="auto"/>
                <w:kern w:val="0"/>
                <w:sz w:val="20"/>
                <w:szCs w:val="20"/>
                <w:lang w:val="en-US" w:eastAsia="zh-CN"/>
              </w:rPr>
              <w:t>总计</w:t>
            </w:r>
          </w:p>
        </w:tc>
        <w:tc>
          <w:tcPr>
            <w:tcW w:w="56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r>
            <w:r>
              <w:rPr>
                <w:rFonts w:hint="eastAsia" w:ascii="宋体" w:hAnsi="宋体" w:eastAsia="宋体" w:cs="宋体"/>
                <w:color w:val="auto"/>
                <w:kern w:val="0"/>
                <w:sz w:val="20"/>
                <w:szCs w:val="20"/>
                <w:lang w:val="en-US" w:eastAsia="zh-CN"/>
              </w:rPr>
              <w:t>维持</w:t>
            </w:r>
          </w:p>
        </w:tc>
        <w:tc>
          <w:tcPr>
            <w:tcW w:w="56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宋体" w:hAnsi="宋体" w:eastAsia="宋体" w:cs="宋体"/>
                <w:color w:val="auto"/>
                <w:kern w:val="0"/>
                <w:sz w:val="20"/>
                <w:szCs w:val="20"/>
                <w:lang w:val="en-US" w:eastAsia="zh-CN"/>
              </w:rPr>
              <w:t>结果</w:t>
            </w:r>
            <w:r>
              <w:rPr>
                <w:rFonts w:hint="eastAsia" w:ascii="宋体" w:hAnsi="宋体" w:eastAsia="宋体" w:cs="宋体"/>
                <w:color w:val="auto"/>
                <w:kern w:val="0"/>
                <w:sz w:val="20"/>
                <w:szCs w:val="20"/>
                <w:lang w:val="en-US" w:eastAsia="zh-CN"/>
              </w:rPr>
              <w:br/>
            </w:r>
            <w:r>
              <w:rPr>
                <w:rFonts w:hint="eastAsia" w:ascii="宋体" w:hAnsi="宋体" w:eastAsia="宋体" w:cs="宋体"/>
                <w:color w:val="auto"/>
                <w:kern w:val="0"/>
                <w:sz w:val="20"/>
                <w:szCs w:val="20"/>
                <w:lang w:val="en-US" w:eastAsia="zh-CN"/>
              </w:rPr>
              <w:t>纠正</w:t>
            </w:r>
          </w:p>
        </w:tc>
        <w:tc>
          <w:tcPr>
            <w:tcW w:w="56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宋体" w:hAnsi="宋体" w:eastAsia="宋体" w:cs="宋体"/>
                <w:color w:val="auto"/>
                <w:kern w:val="0"/>
                <w:sz w:val="20"/>
                <w:szCs w:val="20"/>
                <w:lang w:val="en-US" w:eastAsia="zh-CN"/>
              </w:rPr>
              <w:t>其他</w:t>
            </w:r>
            <w:r>
              <w:rPr>
                <w:rFonts w:hint="eastAsia" w:ascii="宋体" w:hAnsi="宋体" w:eastAsia="宋体" w:cs="宋体"/>
                <w:color w:val="auto"/>
                <w:kern w:val="0"/>
                <w:sz w:val="20"/>
                <w:szCs w:val="20"/>
                <w:lang w:val="en-US" w:eastAsia="zh-CN"/>
              </w:rPr>
              <w:br/>
            </w:r>
            <w:r>
              <w:rPr>
                <w:rFonts w:hint="eastAsia" w:ascii="宋体" w:hAnsi="宋体" w:eastAsia="宋体" w:cs="宋体"/>
                <w:color w:val="auto"/>
                <w:kern w:val="0"/>
                <w:sz w:val="20"/>
                <w:szCs w:val="20"/>
                <w:lang w:val="en-US" w:eastAsia="zh-CN"/>
              </w:rPr>
              <w:t>结果</w:t>
            </w:r>
          </w:p>
        </w:tc>
        <w:tc>
          <w:tcPr>
            <w:tcW w:w="56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宋体" w:hAnsi="宋体" w:eastAsia="宋体" w:cs="宋体"/>
                <w:color w:val="auto"/>
                <w:kern w:val="0"/>
                <w:sz w:val="20"/>
                <w:szCs w:val="20"/>
                <w:lang w:val="en-US" w:eastAsia="zh-CN"/>
              </w:rPr>
              <w:t>尚未</w:t>
            </w:r>
            <w:r>
              <w:rPr>
                <w:rFonts w:hint="eastAsia" w:ascii="宋体" w:hAnsi="宋体" w:eastAsia="宋体" w:cs="宋体"/>
                <w:color w:val="auto"/>
                <w:kern w:val="0"/>
                <w:sz w:val="20"/>
                <w:szCs w:val="20"/>
                <w:lang w:val="en-US" w:eastAsia="zh-CN"/>
              </w:rPr>
              <w:br/>
            </w:r>
            <w:r>
              <w:rPr>
                <w:rFonts w:hint="eastAsia" w:ascii="宋体" w:hAnsi="宋体" w:eastAsia="宋体" w:cs="宋体"/>
                <w:color w:val="auto"/>
                <w:kern w:val="0"/>
                <w:sz w:val="20"/>
                <w:szCs w:val="20"/>
                <w:lang w:val="en-US" w:eastAsia="zh-CN"/>
              </w:rPr>
              <w:t>审结</w:t>
            </w:r>
          </w:p>
        </w:tc>
        <w:tc>
          <w:tcPr>
            <w:tcW w:w="573"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宋体" w:hAnsi="宋体" w:eastAsia="宋体" w:cs="宋体"/>
                <w:color w:val="auto"/>
                <w:kern w:val="0"/>
                <w:sz w:val="20"/>
                <w:szCs w:val="20"/>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黑体" w:hAnsi="宋体" w:eastAsia="黑体" w:cs="黑体"/>
                <w:color w:val="auto"/>
                <w:kern w:val="2"/>
                <w:sz w:val="20"/>
                <w:szCs w:val="20"/>
                <w:lang w:val="en-US" w:eastAsia="zh-CN"/>
              </w:rPr>
              <w:t>0</w:t>
            </w:r>
            <w:r>
              <w:rPr>
                <w:rFonts w:ascii="黑体" w:hAnsi="宋体" w:eastAsia="黑体" w:cs="黑体"/>
                <w:color w:val="auto"/>
                <w:kern w:val="2"/>
                <w:sz w:val="20"/>
                <w:szCs w:val="20"/>
                <w:lang w:val="en-US" w:eastAsia="zh-CN"/>
              </w:rPr>
              <w:t> </w:t>
            </w:r>
          </w:p>
        </w:tc>
        <w:tc>
          <w:tcPr>
            <w:tcW w:w="565"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黑体" w:hAnsi="宋体" w:eastAsia="黑体" w:cs="黑体"/>
                <w:color w:val="auto"/>
                <w:kern w:val="2"/>
                <w:sz w:val="20"/>
                <w:szCs w:val="20"/>
                <w:lang w:val="en-US" w:eastAsia="zh-CN"/>
              </w:rPr>
              <w:t>0</w:t>
            </w:r>
          </w:p>
        </w:tc>
        <w:tc>
          <w:tcPr>
            <w:tcW w:w="565"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黑体" w:hAnsi="宋体" w:eastAsia="黑体" w:cs="黑体"/>
                <w:color w:val="auto"/>
                <w:kern w:val="2"/>
                <w:sz w:val="20"/>
                <w:szCs w:val="20"/>
                <w:lang w:val="en-US" w:eastAsia="zh-CN"/>
              </w:rPr>
              <w:t>0</w:t>
            </w:r>
          </w:p>
        </w:tc>
        <w:tc>
          <w:tcPr>
            <w:tcW w:w="565"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黑体" w:hAnsi="宋体" w:eastAsia="黑体" w:cs="黑体"/>
                <w:color w:val="auto"/>
                <w:kern w:val="2"/>
                <w:sz w:val="20"/>
                <w:szCs w:val="20"/>
                <w:lang w:val="en-US" w:eastAsia="zh-CN"/>
              </w:rPr>
              <w:t>0</w:t>
            </w:r>
          </w:p>
        </w:tc>
        <w:tc>
          <w:tcPr>
            <w:tcW w:w="574"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黑体" w:hAnsi="宋体" w:eastAsia="黑体" w:cs="黑体"/>
                <w:color w:val="auto"/>
                <w:kern w:val="2"/>
                <w:sz w:val="20"/>
                <w:szCs w:val="20"/>
                <w:lang w:val="en-US" w:eastAsia="zh-CN"/>
              </w:rPr>
              <w:t>0</w:t>
            </w:r>
          </w:p>
        </w:tc>
        <w:tc>
          <w:tcPr>
            <w:tcW w:w="566"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黑体" w:hAnsi="宋体" w:eastAsia="黑体" w:cs="黑体"/>
                <w:color w:val="auto"/>
                <w:kern w:val="2"/>
                <w:sz w:val="20"/>
                <w:szCs w:val="20"/>
                <w:lang w:val="en-US" w:eastAsia="zh-CN"/>
              </w:rPr>
              <w:t>0</w:t>
            </w:r>
          </w:p>
        </w:tc>
        <w:tc>
          <w:tcPr>
            <w:tcW w:w="566"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黑体" w:hAnsi="宋体" w:eastAsia="黑体" w:cs="黑体"/>
                <w:color w:val="auto"/>
                <w:kern w:val="2"/>
                <w:sz w:val="20"/>
                <w:szCs w:val="20"/>
                <w:lang w:val="en-US" w:eastAsia="zh-CN"/>
              </w:rPr>
              <w:t>0</w:t>
            </w:r>
          </w:p>
        </w:tc>
        <w:tc>
          <w:tcPr>
            <w:tcW w:w="56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黑体" w:hAnsi="宋体" w:eastAsia="黑体" w:cs="黑体"/>
                <w:color w:val="auto"/>
                <w:kern w:val="2"/>
                <w:sz w:val="20"/>
                <w:szCs w:val="20"/>
                <w:lang w:val="en-US" w:eastAsia="zh-CN"/>
              </w:rPr>
              <w:t>0</w:t>
            </w:r>
          </w:p>
        </w:tc>
        <w:tc>
          <w:tcPr>
            <w:tcW w:w="56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黑体" w:hAnsi="宋体" w:eastAsia="黑体" w:cs="黑体"/>
                <w:color w:val="auto"/>
                <w:kern w:val="2"/>
                <w:sz w:val="20"/>
                <w:szCs w:val="20"/>
                <w:lang w:val="en-US" w:eastAsia="zh-CN"/>
              </w:rPr>
              <w:t>0</w:t>
            </w:r>
          </w:p>
        </w:tc>
        <w:tc>
          <w:tcPr>
            <w:tcW w:w="573"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黑体" w:hAnsi="宋体" w:eastAsia="黑体" w:cs="黑体"/>
                <w:color w:val="auto"/>
                <w:kern w:val="2"/>
                <w:sz w:val="20"/>
                <w:szCs w:val="20"/>
                <w:lang w:val="en-US" w:eastAsia="zh-CN"/>
              </w:rPr>
              <w:t>0</w:t>
            </w:r>
          </w:p>
        </w:tc>
        <w:tc>
          <w:tcPr>
            <w:tcW w:w="56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黑体" w:hAnsi="宋体" w:eastAsia="黑体" w:cs="黑体"/>
                <w:color w:val="auto"/>
                <w:kern w:val="2"/>
                <w:sz w:val="20"/>
                <w:szCs w:val="20"/>
                <w:lang w:val="en-US" w:eastAsia="zh-CN"/>
              </w:rPr>
              <w:t>0</w:t>
            </w:r>
          </w:p>
        </w:tc>
        <w:tc>
          <w:tcPr>
            <w:tcW w:w="56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黑体" w:hAnsi="宋体" w:eastAsia="黑体" w:cs="黑体"/>
                <w:color w:val="auto"/>
                <w:kern w:val="2"/>
                <w:sz w:val="20"/>
                <w:szCs w:val="20"/>
                <w:lang w:val="en-US" w:eastAsia="zh-CN"/>
              </w:rPr>
              <w:t>0</w:t>
            </w:r>
          </w:p>
        </w:tc>
        <w:tc>
          <w:tcPr>
            <w:tcW w:w="56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黑体" w:hAnsi="宋体" w:eastAsia="黑体" w:cs="黑体"/>
                <w:color w:val="auto"/>
                <w:kern w:val="2"/>
                <w:sz w:val="20"/>
                <w:szCs w:val="20"/>
                <w:lang w:val="en-US" w:eastAsia="zh-CN"/>
              </w:rPr>
              <w:t>0</w:t>
            </w:r>
          </w:p>
        </w:tc>
        <w:tc>
          <w:tcPr>
            <w:tcW w:w="56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firstLine="0" w:firstLineChars="0"/>
              <w:jc w:val="center"/>
              <w:rPr>
                <w:color w:val="auto"/>
              </w:rPr>
            </w:pPr>
            <w:r>
              <w:rPr>
                <w:rFonts w:hint="eastAsia" w:ascii="黑体" w:hAnsi="宋体" w:eastAsia="黑体" w:cs="黑体"/>
                <w:color w:val="auto"/>
                <w:kern w:val="2"/>
                <w:sz w:val="20"/>
                <w:szCs w:val="20"/>
                <w:lang w:val="en-US" w:eastAsia="zh-CN"/>
              </w:rPr>
              <w:t>0</w:t>
            </w:r>
          </w:p>
        </w:tc>
        <w:tc>
          <w:tcPr>
            <w:tcW w:w="57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1"/>
                <w:szCs w:val="21"/>
              </w:rPr>
            </w:pPr>
            <w:r>
              <w:rPr>
                <w:rFonts w:hint="eastAsia" w:ascii="黑体" w:hAnsi="宋体" w:eastAsia="黑体" w:cs="黑体"/>
                <w:color w:val="auto"/>
                <w:kern w:val="2"/>
                <w:sz w:val="20"/>
                <w:szCs w:val="20"/>
                <w:lang w:val="en-US" w:eastAsia="zh-CN"/>
              </w:rPr>
              <w:t>0</w:t>
            </w:r>
          </w:p>
        </w:tc>
      </w:tr>
    </w:tbl>
    <w:p>
      <w:pPr>
        <w:pStyle w:val="5"/>
        <w:widowControl/>
        <w:numPr>
          <w:ilvl w:val="0"/>
          <w:numId w:val="1"/>
        </w:numPr>
        <w:wordWrap/>
        <w:adjustRightInd/>
        <w:snapToGrid/>
        <w:spacing w:before="0" w:beforeAutospacing="0" w:after="0" w:afterAutospacing="0" w:line="360" w:lineRule="auto"/>
        <w:ind w:firstLine="640" w:firstLineChars="200"/>
        <w:jc w:val="both"/>
        <w:textAlignment w:val="auto"/>
        <w:rPr>
          <w:rFonts w:hint="eastAsia" w:ascii="宋体" w:hAnsi="宋体" w:eastAsia="宋体" w:cs="宋体"/>
          <w:b/>
          <w:bCs/>
          <w:color w:val="auto"/>
          <w:sz w:val="32"/>
          <w:szCs w:val="32"/>
        </w:rPr>
      </w:pPr>
      <w:bookmarkStart w:id="0" w:name="_GoBack"/>
      <w:bookmarkEnd w:id="0"/>
      <w:r>
        <w:rPr>
          <w:rFonts w:hint="eastAsia" w:ascii="宋体" w:hAnsi="宋体" w:eastAsia="宋体" w:cs="宋体"/>
          <w:b/>
          <w:bCs/>
          <w:color w:val="auto"/>
          <w:sz w:val="32"/>
          <w:szCs w:val="32"/>
        </w:rPr>
        <w:t>存在的主要问题及改进情况</w:t>
      </w:r>
    </w:p>
    <w:p>
      <w:pPr>
        <w:pStyle w:val="5"/>
        <w:widowControl/>
        <w:numPr>
          <w:numId w:val="0"/>
        </w:numPr>
        <w:wordWrap/>
        <w:adjustRightInd/>
        <w:snapToGrid/>
        <w:spacing w:before="0" w:beforeAutospacing="0" w:after="0" w:afterAutospacing="0" w:line="360" w:lineRule="auto"/>
        <w:ind w:right="0"/>
        <w:jc w:val="both"/>
        <w:textAlignment w:val="auto"/>
        <w:rPr>
          <w:rFonts w:hint="eastAsia" w:ascii="宋体" w:hAnsi="宋体" w:eastAsia="宋体" w:cs="宋体"/>
          <w:b/>
          <w:bCs/>
          <w:color w:val="auto"/>
          <w:sz w:val="32"/>
          <w:szCs w:val="32"/>
          <w:lang w:val="en-US" w:eastAsia="zh-CN"/>
        </w:rPr>
      </w:pPr>
      <w:r>
        <w:rPr>
          <w:rFonts w:hint="eastAsia" w:ascii="宋体" w:hAnsi="宋体" w:cs="宋体"/>
          <w:b/>
          <w:bCs/>
          <w:i w:val="0"/>
          <w:caps w:val="0"/>
          <w:color w:val="auto"/>
          <w:spacing w:val="0"/>
          <w:sz w:val="32"/>
          <w:szCs w:val="32"/>
          <w:shd w:val="clear" w:color="auto" w:fill="FFFFFF"/>
          <w:lang w:val="en-US" w:eastAsia="zh-CN"/>
        </w:rPr>
        <w:t xml:space="preserve">    （</w:t>
      </w:r>
      <w:r>
        <w:rPr>
          <w:rFonts w:hint="eastAsia" w:ascii="宋体" w:hAnsi="宋体" w:eastAsia="宋体" w:cs="宋体"/>
          <w:b/>
          <w:bCs/>
          <w:i w:val="0"/>
          <w:caps w:val="0"/>
          <w:color w:val="auto"/>
          <w:spacing w:val="0"/>
          <w:sz w:val="32"/>
          <w:szCs w:val="32"/>
          <w:shd w:val="clear" w:color="auto" w:fill="FFFFFF"/>
          <w:lang w:eastAsia="zh-CN"/>
        </w:rPr>
        <w:t>一）</w:t>
      </w:r>
      <w:r>
        <w:rPr>
          <w:rFonts w:hint="eastAsia" w:ascii="宋体" w:hAnsi="宋体" w:eastAsia="宋体" w:cs="宋体"/>
          <w:b/>
          <w:bCs/>
          <w:color w:val="auto"/>
          <w:sz w:val="32"/>
          <w:szCs w:val="32"/>
          <w:lang w:val="en-US" w:eastAsia="zh-CN"/>
        </w:rPr>
        <w:t>上年度存在的问题</w:t>
      </w:r>
    </w:p>
    <w:p>
      <w:pPr>
        <w:pStyle w:val="5"/>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0" w:firstLineChars="200"/>
        <w:jc w:val="both"/>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一是政务信息公开力度有待进一步加大，二是政务信息公开的内容还不够全面，三是信息公开更新还不够及时。</w:t>
      </w:r>
    </w:p>
    <w:p>
      <w:pPr>
        <w:pStyle w:val="5"/>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jc w:val="both"/>
        <w:rPr>
          <w:rFonts w:hint="eastAsia" w:ascii="宋体" w:hAnsi="宋体" w:eastAsia="宋体" w:cs="宋体"/>
          <w:b/>
          <w:bCs/>
          <w:color w:val="auto"/>
          <w:sz w:val="32"/>
          <w:szCs w:val="32"/>
          <w:lang w:val="en-US" w:eastAsia="zh-CN"/>
        </w:rPr>
      </w:pPr>
      <w:r>
        <w:rPr>
          <w:rFonts w:hint="eastAsia" w:ascii="宋体" w:hAnsi="宋体" w:cs="宋体"/>
          <w:b/>
          <w:bCs/>
          <w:i w:val="0"/>
          <w:caps w:val="0"/>
          <w:color w:val="auto"/>
          <w:spacing w:val="0"/>
          <w:sz w:val="32"/>
          <w:szCs w:val="32"/>
          <w:shd w:val="clear" w:color="auto" w:fill="FFFFFF"/>
          <w:lang w:val="en-US" w:eastAsia="zh-CN"/>
        </w:rPr>
        <w:t xml:space="preserve">    （</w:t>
      </w:r>
      <w:r>
        <w:rPr>
          <w:rFonts w:hint="eastAsia" w:ascii="宋体" w:hAnsi="宋体" w:eastAsia="宋体" w:cs="宋体"/>
          <w:b/>
          <w:bCs/>
          <w:i w:val="0"/>
          <w:caps w:val="0"/>
          <w:color w:val="auto"/>
          <w:spacing w:val="0"/>
          <w:sz w:val="32"/>
          <w:szCs w:val="32"/>
          <w:shd w:val="clear" w:color="auto" w:fill="FFFFFF"/>
          <w:lang w:val="en-US" w:eastAsia="zh-CN"/>
        </w:rPr>
        <w:t>二）</w:t>
      </w:r>
      <w:r>
        <w:rPr>
          <w:rFonts w:hint="eastAsia" w:ascii="宋体" w:hAnsi="宋体" w:eastAsia="宋体" w:cs="宋体"/>
          <w:b/>
          <w:bCs/>
          <w:color w:val="auto"/>
          <w:sz w:val="32"/>
          <w:szCs w:val="32"/>
          <w:lang w:val="en-US" w:eastAsia="zh-CN"/>
        </w:rPr>
        <w:t>上年度问题在本年度的改进情况</w:t>
      </w:r>
    </w:p>
    <w:p>
      <w:pPr>
        <w:pStyle w:val="5"/>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firstLineChars="200"/>
        <w:jc w:val="both"/>
        <w:rPr>
          <w:rFonts w:hint="eastAsia" w:ascii="宋体" w:hAnsi="宋体" w:eastAsia="宋体" w:cs="宋体"/>
          <w:i w:val="0"/>
          <w:caps w:val="0"/>
          <w:color w:val="auto"/>
          <w:spacing w:val="0"/>
          <w:sz w:val="32"/>
          <w:szCs w:val="32"/>
          <w:shd w:val="clear" w:color="auto" w:fill="FFFFFF"/>
        </w:rPr>
      </w:pPr>
      <w:r>
        <w:rPr>
          <w:rFonts w:hint="eastAsia" w:ascii="宋体" w:hAnsi="宋体" w:eastAsia="宋体" w:cs="宋体"/>
          <w:i w:val="0"/>
          <w:caps w:val="0"/>
          <w:color w:val="auto"/>
          <w:spacing w:val="0"/>
          <w:sz w:val="32"/>
          <w:szCs w:val="32"/>
          <w:shd w:val="clear" w:color="auto" w:fill="FFFFFF"/>
        </w:rPr>
        <w:t>一是加大信息公开力度。进一步完善信息公开制度，强化信息公开的责任意识、大局意识、服务意识，确保政务信息公开工作及时、准确。二是更好地接受社会公众对信息公开情况的监督。</w:t>
      </w:r>
      <w:r>
        <w:rPr>
          <w:rFonts w:hint="eastAsia" w:ascii="宋体" w:hAnsi="宋体" w:eastAsia="宋体" w:cs="宋体"/>
          <w:i w:val="0"/>
          <w:caps w:val="0"/>
          <w:color w:val="auto"/>
          <w:spacing w:val="0"/>
          <w:sz w:val="32"/>
          <w:szCs w:val="32"/>
          <w:shd w:val="clear" w:color="auto" w:fill="FFFFFF"/>
          <w:lang w:eastAsia="zh-CN"/>
        </w:rPr>
        <w:t>三是</w:t>
      </w:r>
      <w:r>
        <w:rPr>
          <w:rFonts w:hint="eastAsia" w:ascii="宋体" w:hAnsi="宋体" w:eastAsia="宋体" w:cs="宋体"/>
          <w:i w:val="0"/>
          <w:caps w:val="0"/>
          <w:color w:val="auto"/>
          <w:spacing w:val="0"/>
          <w:sz w:val="32"/>
          <w:szCs w:val="32"/>
          <w:shd w:val="clear" w:color="auto" w:fill="FFFFFF"/>
        </w:rPr>
        <w:t>强化舆论宣传。通过微博、微信等</w:t>
      </w:r>
      <w:r>
        <w:rPr>
          <w:rFonts w:hint="eastAsia" w:ascii="宋体" w:hAnsi="宋体" w:eastAsia="宋体" w:cs="宋体"/>
          <w:i w:val="0"/>
          <w:caps w:val="0"/>
          <w:color w:val="auto"/>
          <w:spacing w:val="0"/>
          <w:sz w:val="32"/>
          <w:szCs w:val="32"/>
          <w:shd w:val="clear" w:color="auto" w:fill="FFFFFF"/>
          <w:lang w:eastAsia="zh-CN"/>
        </w:rPr>
        <w:t>新</w:t>
      </w:r>
      <w:r>
        <w:rPr>
          <w:rFonts w:hint="eastAsia" w:ascii="宋体" w:hAnsi="宋体" w:eastAsia="宋体" w:cs="宋体"/>
          <w:i w:val="0"/>
          <w:caps w:val="0"/>
          <w:color w:val="auto"/>
          <w:spacing w:val="0"/>
          <w:sz w:val="32"/>
          <w:szCs w:val="32"/>
          <w:shd w:val="clear" w:color="auto" w:fill="FFFFFF"/>
        </w:rPr>
        <w:t>媒体，强化宣传的力度、广度与深度，积极引导社会公众正确行使知情权。</w:t>
      </w:r>
    </w:p>
    <w:p>
      <w:pPr>
        <w:pStyle w:val="5"/>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jc w:val="both"/>
        <w:rPr>
          <w:rFonts w:hint="eastAsia" w:ascii="宋体" w:hAnsi="宋体" w:eastAsia="宋体" w:cs="宋体"/>
          <w:b/>
          <w:bCs/>
          <w:i w:val="0"/>
          <w:caps w:val="0"/>
          <w:color w:val="auto"/>
          <w:spacing w:val="0"/>
          <w:sz w:val="32"/>
          <w:szCs w:val="32"/>
          <w:shd w:val="clear" w:color="auto" w:fill="FFFFFF"/>
        </w:rPr>
      </w:pPr>
      <w:r>
        <w:rPr>
          <w:rFonts w:hint="eastAsia" w:ascii="宋体" w:hAnsi="宋体" w:cs="宋体"/>
          <w:b/>
          <w:bCs/>
          <w:color w:val="auto"/>
          <w:sz w:val="32"/>
          <w:szCs w:val="32"/>
          <w:lang w:val="en-US" w:eastAsia="zh-CN"/>
        </w:rPr>
        <w:t xml:space="preserve">    （</w:t>
      </w:r>
      <w:r>
        <w:rPr>
          <w:rFonts w:hint="eastAsia" w:ascii="宋体" w:hAnsi="宋体" w:eastAsia="宋体" w:cs="宋体"/>
          <w:b/>
          <w:bCs/>
          <w:color w:val="auto"/>
          <w:sz w:val="32"/>
          <w:szCs w:val="32"/>
          <w:lang w:val="en-US" w:eastAsia="zh-CN"/>
        </w:rPr>
        <w:t>三）本年度存在的问题</w:t>
      </w:r>
    </w:p>
    <w:p>
      <w:pPr>
        <w:pStyle w:val="5"/>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40" w:firstLineChars="200"/>
        <w:jc w:val="both"/>
        <w:rPr>
          <w:rFonts w:hint="eastAsia" w:ascii="宋体" w:hAnsi="宋体" w:eastAsia="宋体" w:cs="宋体"/>
          <w:i w:val="0"/>
          <w:caps w:val="0"/>
          <w:color w:val="auto"/>
          <w:spacing w:val="0"/>
          <w:sz w:val="32"/>
          <w:szCs w:val="32"/>
          <w:shd w:val="clear" w:color="auto" w:fill="FFFFFF"/>
        </w:rPr>
      </w:pPr>
      <w:r>
        <w:rPr>
          <w:rFonts w:hint="eastAsia" w:ascii="宋体" w:hAnsi="宋体" w:eastAsia="宋体" w:cs="宋体"/>
          <w:i w:val="0"/>
          <w:caps w:val="0"/>
          <w:color w:val="auto"/>
          <w:spacing w:val="0"/>
          <w:sz w:val="32"/>
          <w:szCs w:val="32"/>
          <w:shd w:val="clear" w:color="auto" w:fill="FFFFFF"/>
        </w:rPr>
        <w:t>虽然我中心在政府信息公开工作中取得了一些成绩，但与上级的要求还有差距，还存在一些问题。比如，更新的频率有待提高，信息公开的质量还需加强，公开形式的便民性有待进一步提高等不足之处。</w:t>
      </w:r>
    </w:p>
    <w:p>
      <w:pPr>
        <w:pStyle w:val="5"/>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jc w:val="both"/>
        <w:rPr>
          <w:rFonts w:hint="eastAsia" w:ascii="宋体" w:hAnsi="宋体" w:eastAsia="宋体" w:cs="宋体"/>
          <w:color w:val="auto"/>
          <w:sz w:val="32"/>
          <w:szCs w:val="32"/>
          <w:lang w:val="en-US" w:eastAsia="zh-CN"/>
        </w:rPr>
      </w:pPr>
      <w:r>
        <w:rPr>
          <w:rFonts w:hint="eastAsia" w:ascii="宋体" w:hAnsi="宋体" w:cs="宋体"/>
          <w:b/>
          <w:bCs/>
          <w:color w:val="auto"/>
          <w:sz w:val="32"/>
          <w:szCs w:val="32"/>
          <w:lang w:val="en-US" w:eastAsia="zh-CN"/>
        </w:rPr>
        <w:t xml:space="preserve">    （</w:t>
      </w:r>
      <w:r>
        <w:rPr>
          <w:rFonts w:hint="eastAsia" w:ascii="宋体" w:hAnsi="宋体" w:eastAsia="宋体" w:cs="宋体"/>
          <w:b/>
          <w:bCs/>
          <w:color w:val="auto"/>
          <w:sz w:val="32"/>
          <w:szCs w:val="32"/>
          <w:lang w:val="en-US" w:eastAsia="zh-CN"/>
        </w:rPr>
        <w:t xml:space="preserve">四）下年度改进举措   </w:t>
      </w:r>
    </w:p>
    <w:p>
      <w:pPr>
        <w:ind w:firstLine="0" w:firstLineChars="200"/>
        <w:rPr>
          <w:rFonts w:hint="eastAsia" w:ascii="宋体" w:hAnsi="宋体" w:eastAsia="宋体" w:cs="宋体"/>
          <w:color w:val="auto"/>
          <w:sz w:val="32"/>
          <w:szCs w:val="32"/>
        </w:rPr>
      </w:pPr>
      <w:r>
        <w:rPr>
          <w:rFonts w:hint="eastAsia" w:ascii="宋体" w:hAnsi="宋体" w:eastAsia="宋体" w:cs="宋体"/>
          <w:color w:val="auto"/>
          <w:sz w:val="32"/>
          <w:szCs w:val="32"/>
        </w:rPr>
        <w:t>我中心将着力从以下几个方面加强政务公开工作：一是做好补差补缺。对照政府信息公开要求，对还没有及时公开的政策及信息进行自查，及时完善相应栏目和相关内容；二是形成长效机制。将政务公开工作与其他业务工作、党建工作、创建工作有机地结合起来，完善公开制度、公开行为，建立政务公开长效机制，切实做好我中心政务公开的各项工作；三是不断加强队伍建设，加强对有关从业人员的培训，进一步提高信息工作人员的业务水平；四是加大工作创新力度，努力探索信息公开的新路子、新途径，不断拓宽政府信息公开渠道，服务群众。</w:t>
      </w:r>
    </w:p>
    <w:p>
      <w:pPr>
        <w:pStyle w:val="5"/>
        <w:widowControl/>
        <w:wordWrap/>
        <w:adjustRightInd/>
        <w:snapToGrid/>
        <w:spacing w:before="0" w:beforeAutospacing="0" w:after="0" w:afterAutospacing="0" w:line="360" w:lineRule="auto"/>
        <w:ind w:left="0" w:firstLine="640" w:firstLineChars="200"/>
        <w:jc w:val="both"/>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六、其他需要报告的事项</w:t>
      </w:r>
    </w:p>
    <w:p>
      <w:pPr>
        <w:pStyle w:val="5"/>
        <w:widowControl/>
        <w:wordWrap/>
        <w:adjustRightInd/>
        <w:snapToGrid/>
        <w:spacing w:before="0" w:beforeAutospacing="0" w:after="0" w:afterAutospacing="0" w:line="360" w:lineRule="auto"/>
        <w:ind w:left="0" w:firstLine="640" w:firstLineChars="200"/>
        <w:jc w:val="both"/>
        <w:textAlignment w:val="auto"/>
        <w:rPr>
          <w:rFonts w:hint="eastAsia" w:ascii="宋体" w:hAnsi="宋体" w:eastAsia="宋体" w:cs="宋体"/>
          <w:color w:val="auto"/>
          <w:sz w:val="32"/>
          <w:szCs w:val="32"/>
          <w:lang w:val="en-US" w:eastAsia="zh-CN"/>
        </w:rPr>
      </w:pPr>
      <w:r>
        <w:rPr>
          <w:rFonts w:hint="eastAsia" w:ascii="宋体" w:hAnsi="宋体" w:eastAsia="宋体" w:cs="宋体"/>
          <w:i w:val="0"/>
          <w:caps w:val="0"/>
          <w:color w:val="auto"/>
          <w:spacing w:val="0"/>
          <w:sz w:val="32"/>
          <w:szCs w:val="32"/>
          <w:shd w:val="clear" w:color="auto" w:fill="FFFFFF"/>
        </w:rPr>
        <w:t>1.2021年</w:t>
      </w:r>
      <w:r>
        <w:rPr>
          <w:rFonts w:hint="eastAsia" w:ascii="宋体" w:hAnsi="宋体" w:eastAsia="宋体" w:cs="宋体"/>
          <w:i w:val="0"/>
          <w:caps w:val="0"/>
          <w:color w:val="auto"/>
          <w:spacing w:val="0"/>
          <w:sz w:val="32"/>
          <w:szCs w:val="32"/>
          <w:shd w:val="clear" w:color="auto" w:fill="FFFFFF"/>
          <w:lang w:eastAsia="zh-CN"/>
        </w:rPr>
        <w:t>我中心在硚口信息网上</w:t>
      </w:r>
      <w:r>
        <w:rPr>
          <w:rFonts w:hint="eastAsia" w:ascii="宋体" w:hAnsi="宋体" w:eastAsia="宋体" w:cs="宋体"/>
          <w:i w:val="0"/>
          <w:caps w:val="0"/>
          <w:color w:val="auto"/>
          <w:spacing w:val="0"/>
          <w:sz w:val="32"/>
          <w:szCs w:val="32"/>
          <w:shd w:val="clear" w:color="auto" w:fill="FFFFFF"/>
        </w:rPr>
        <w:t>发布</w:t>
      </w:r>
      <w:r>
        <w:rPr>
          <w:rFonts w:hint="eastAsia" w:ascii="宋体" w:hAnsi="宋体" w:eastAsia="宋体" w:cs="宋体"/>
          <w:i w:val="0"/>
          <w:caps w:val="0"/>
          <w:color w:val="auto"/>
          <w:spacing w:val="0"/>
          <w:sz w:val="32"/>
          <w:szCs w:val="32"/>
          <w:shd w:val="clear" w:color="auto" w:fill="FFFFFF"/>
          <w:lang w:eastAsia="zh-CN"/>
        </w:rPr>
        <w:t>关于</w:t>
      </w:r>
      <w:r>
        <w:rPr>
          <w:rFonts w:hint="eastAsia" w:ascii="宋体" w:hAnsi="宋体" w:eastAsia="宋体" w:cs="宋体"/>
          <w:color w:val="auto"/>
          <w:sz w:val="32"/>
          <w:szCs w:val="32"/>
          <w:lang w:eastAsia="zh-CN"/>
        </w:rPr>
        <w:t>重大新闻事件、</w:t>
      </w:r>
      <w:r>
        <w:rPr>
          <w:rFonts w:hint="eastAsia" w:ascii="宋体" w:hAnsi="宋体" w:eastAsia="宋体" w:cs="宋体"/>
          <w:color w:val="auto"/>
          <w:sz w:val="32"/>
          <w:szCs w:val="32"/>
        </w:rPr>
        <w:t>重大政策、重要决策部署和重大突发事件等</w:t>
      </w:r>
      <w:r>
        <w:rPr>
          <w:rFonts w:hint="eastAsia" w:ascii="宋体" w:hAnsi="宋体" w:eastAsia="宋体" w:cs="宋体"/>
          <w:color w:val="auto"/>
          <w:sz w:val="32"/>
          <w:szCs w:val="32"/>
          <w:lang w:eastAsia="zh-CN"/>
        </w:rPr>
        <w:t>新闻信息共计</w:t>
      </w:r>
      <w:r>
        <w:rPr>
          <w:rFonts w:hint="eastAsia" w:ascii="宋体" w:hAnsi="宋体" w:eastAsia="宋体" w:cs="宋体"/>
          <w:color w:val="auto"/>
          <w:sz w:val="32"/>
          <w:szCs w:val="32"/>
          <w:lang w:val="en-US" w:eastAsia="zh-CN"/>
        </w:rPr>
        <w:t>30条</w:t>
      </w:r>
      <w:r>
        <w:rPr>
          <w:rFonts w:hint="eastAsia" w:ascii="宋体" w:hAnsi="宋体" w:eastAsia="宋体" w:cs="宋体"/>
          <w:color w:val="auto"/>
          <w:sz w:val="32"/>
          <w:szCs w:val="32"/>
          <w:lang w:eastAsia="zh-CN"/>
        </w:rPr>
        <w:t>。</w:t>
      </w:r>
      <w:r>
        <w:rPr>
          <w:rFonts w:hint="eastAsia" w:ascii="宋体" w:hAnsi="宋体" w:eastAsia="宋体" w:cs="宋体"/>
          <w:i w:val="0"/>
          <w:caps w:val="0"/>
          <w:color w:val="auto"/>
          <w:spacing w:val="0"/>
          <w:sz w:val="32"/>
          <w:szCs w:val="32"/>
          <w:shd w:val="clear" w:color="auto" w:fill="FFFFFF"/>
          <w:lang w:val="en-US" w:eastAsia="zh-CN"/>
        </w:rPr>
        <w:t>在硚口发布APP客户端、微信公众号、政务微博等</w:t>
      </w:r>
      <w:r>
        <w:rPr>
          <w:rFonts w:hint="eastAsia" w:ascii="宋体" w:hAnsi="宋体" w:eastAsia="宋体" w:cs="宋体"/>
          <w:i w:val="0"/>
          <w:caps w:val="0"/>
          <w:color w:val="auto"/>
          <w:spacing w:val="0"/>
          <w:sz w:val="32"/>
          <w:szCs w:val="32"/>
          <w:shd w:val="clear" w:color="auto" w:fill="FFFFFF"/>
        </w:rPr>
        <w:t>新媒体全平台发稿</w:t>
      </w:r>
      <w:r>
        <w:rPr>
          <w:rFonts w:hint="eastAsia" w:ascii="宋体" w:hAnsi="宋体" w:eastAsia="宋体" w:cs="宋体"/>
          <w:i w:val="0"/>
          <w:caps w:val="0"/>
          <w:color w:val="auto"/>
          <w:spacing w:val="0"/>
          <w:sz w:val="32"/>
          <w:szCs w:val="32"/>
          <w:shd w:val="clear" w:color="auto" w:fill="FFFFFF"/>
          <w:lang w:val="en-US" w:eastAsia="zh-CN"/>
        </w:rPr>
        <w:t>3856</w:t>
      </w:r>
      <w:r>
        <w:rPr>
          <w:rFonts w:hint="eastAsia" w:ascii="宋体" w:hAnsi="宋体" w:eastAsia="宋体" w:cs="宋体"/>
          <w:i w:val="0"/>
          <w:caps w:val="0"/>
          <w:color w:val="auto"/>
          <w:spacing w:val="0"/>
          <w:sz w:val="32"/>
          <w:szCs w:val="32"/>
          <w:shd w:val="clear" w:color="auto" w:fill="FFFFFF"/>
        </w:rPr>
        <w:t>条。</w:t>
      </w:r>
    </w:p>
    <w:p>
      <w:pPr>
        <w:ind w:firstLine="640" w:firstLineChars="200"/>
        <w:rPr>
          <w:rFonts w:hint="eastAsia" w:ascii="宋体" w:hAnsi="宋体" w:eastAsia="宋体" w:cs="宋体"/>
          <w:color w:val="auto"/>
          <w:sz w:val="32"/>
          <w:szCs w:val="32"/>
          <w:lang w:val="en-US" w:eastAsia="zh-CN"/>
        </w:rPr>
      </w:pPr>
      <w:r>
        <w:rPr>
          <w:rFonts w:hint="eastAsia" w:ascii="宋体" w:hAnsi="宋体" w:cs="宋体"/>
          <w:color w:val="auto"/>
          <w:sz w:val="32"/>
          <w:szCs w:val="32"/>
          <w:lang w:val="en-US" w:eastAsia="zh-CN"/>
        </w:rPr>
        <w:t>2.</w:t>
      </w:r>
      <w:r>
        <w:rPr>
          <w:rFonts w:hint="eastAsia" w:ascii="宋体" w:hAnsi="宋体" w:eastAsia="宋体" w:cs="宋体"/>
          <w:color w:val="auto"/>
          <w:sz w:val="32"/>
          <w:szCs w:val="32"/>
          <w:lang w:val="en-US" w:eastAsia="zh-CN"/>
        </w:rPr>
        <w:t>2021年度我</w:t>
      </w:r>
      <w:r>
        <w:rPr>
          <w:rFonts w:hint="eastAsia" w:ascii="宋体" w:hAnsi="宋体" w:cs="宋体"/>
          <w:color w:val="auto"/>
          <w:sz w:val="32"/>
          <w:szCs w:val="32"/>
          <w:lang w:val="en-US" w:eastAsia="zh-CN"/>
        </w:rPr>
        <w:t>中心</w:t>
      </w:r>
      <w:r>
        <w:rPr>
          <w:rFonts w:hint="eastAsia" w:ascii="宋体" w:hAnsi="宋体" w:eastAsia="宋体" w:cs="宋体"/>
          <w:color w:val="auto"/>
          <w:sz w:val="32"/>
          <w:szCs w:val="32"/>
          <w:lang w:val="en-US" w:eastAsia="zh-CN"/>
        </w:rPr>
        <w:t>收取政府信息处理费为0元</w:t>
      </w:r>
    </w:p>
    <w:p>
      <w:pPr>
        <w:ind w:firstLine="640" w:firstLineChars="20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3.2021年我中心</w:t>
      </w:r>
      <w:r>
        <w:rPr>
          <w:rFonts w:hint="eastAsia" w:ascii="宋体" w:hAnsi="宋体" w:eastAsia="宋体" w:cs="宋体"/>
          <w:color w:val="auto"/>
          <w:sz w:val="32"/>
          <w:szCs w:val="32"/>
          <w:lang w:val="en-US" w:eastAsia="zh-CN"/>
        </w:rPr>
        <w:t>无提案办理情况，无重大建设项目。</w:t>
      </w:r>
      <w:r>
        <w:rPr>
          <w:rFonts w:hint="eastAsia" w:ascii="宋体" w:hAnsi="宋体" w:cs="宋体"/>
          <w:color w:val="auto"/>
          <w:sz w:val="32"/>
          <w:szCs w:val="32"/>
          <w:lang w:val="en-US" w:eastAsia="zh-CN"/>
        </w:rPr>
        <w:t xml:space="preserve">                                     </w:t>
      </w:r>
    </w:p>
    <w:p>
      <w:pPr>
        <w:ind w:firstLine="640" w:firstLineChars="20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 xml:space="preserve">                               硚口区融媒体中心                                 </w:t>
      </w:r>
    </w:p>
    <w:p>
      <w:pPr>
        <w:ind w:firstLine="640" w:firstLineChars="200"/>
        <w:rPr>
          <w:rFonts w:hint="eastAsia" w:ascii="宋体" w:hAnsi="宋体" w:eastAsia="宋体" w:cs="宋体"/>
          <w:sz w:val="32"/>
          <w:szCs w:val="32"/>
          <w:lang w:val="en-US" w:eastAsia="zh-CN"/>
        </w:rPr>
      </w:pPr>
      <w:r>
        <w:rPr>
          <w:rFonts w:hint="eastAsia" w:ascii="宋体" w:hAnsi="宋体" w:cs="宋体"/>
          <w:color w:val="auto"/>
          <w:sz w:val="32"/>
          <w:szCs w:val="32"/>
          <w:lang w:val="en-US" w:eastAsia="zh-CN"/>
        </w:rPr>
        <w:t xml:space="preserve">                                </w:t>
      </w:r>
      <w:r>
        <w:rPr>
          <w:rFonts w:hint="eastAsia" w:ascii="宋体" w:hAnsi="宋体" w:eastAsia="宋体" w:cs="宋体"/>
          <w:color w:val="auto"/>
          <w:sz w:val="32"/>
          <w:szCs w:val="32"/>
          <w:lang w:val="en-US" w:eastAsia="zh-CN"/>
        </w:rPr>
        <w:t>2022年1月4日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2056582">
    <w:nsid w:val="61DFCB86"/>
    <w:multiLevelType w:val="singleLevel"/>
    <w:tmpl w:val="61DFCB86"/>
    <w:lvl w:ilvl="0" w:tentative="1">
      <w:start w:val="5"/>
      <w:numFmt w:val="chineseCounting"/>
      <w:suff w:val="nothing"/>
      <w:lvlText w:val="%1、"/>
      <w:lvlJc w:val="left"/>
    </w:lvl>
  </w:abstractNum>
  <w:num w:numId="1">
    <w:abstractNumId w:val="16420565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38B1E27"/>
    <w:rsid w:val="068063B8"/>
    <w:rsid w:val="07FB58A4"/>
    <w:rsid w:val="0C7C448E"/>
    <w:rsid w:val="0E8A6553"/>
    <w:rsid w:val="0EEE13B5"/>
    <w:rsid w:val="0F8D22CE"/>
    <w:rsid w:val="14790727"/>
    <w:rsid w:val="16E762A2"/>
    <w:rsid w:val="18714E05"/>
    <w:rsid w:val="1B476371"/>
    <w:rsid w:val="238B1E27"/>
    <w:rsid w:val="246E2621"/>
    <w:rsid w:val="26D038B5"/>
    <w:rsid w:val="380214FF"/>
    <w:rsid w:val="397119C0"/>
    <w:rsid w:val="42CB0F8E"/>
    <w:rsid w:val="4CD82BE4"/>
    <w:rsid w:val="565407E9"/>
    <w:rsid w:val="5D6814B8"/>
    <w:rsid w:val="6EFA4222"/>
    <w:rsid w:val="743A3D41"/>
    <w:rsid w:val="79FB123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2021-12-21T15:19:00Z</dcterms:created>
  <dc:creator>WPS_1624785580</dc:creator>
  <cp:lastModifiedBy>Administrator</cp:lastModifiedBy>
  <cp:lastPrinted>2022-01-13T06:49:19Z</cp:lastPrinted>
  <dcterms:modified xsi:type="dcterms:W3CDTF">2022-01-13T06:50:21Z</dcterms:modified>
  <dc:title>政府信息公开工作年度报告格式模板</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777F53E91E564B3B96F5A1A435D08748</vt:lpwstr>
  </property>
</Properties>
</file>