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硚口区宗关街道办事处2022年度政府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硚口区宗关街道办事处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认真贯彻执行《中华人民共和国政府信息公开条例》及省市区有关信息公开要求精神，坚持“公开为常态，不公开为例外”，继续深入、持久地推进信息公开工作，进一步提高政务透明度，切实保障人民群众对政府信息的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坚持主动公开。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我办事处坚持全面推进主动公开，及时公开财政预决算信息及其他应主动公开的政府信息，不断提升政务公开标准化规范化水平。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《中华人民共和国政府信息公开条例》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第二十条规定，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2022年，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我办事处在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武汉市硚口区人民政府门户网站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发布工作规划信息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条、财政预决算信息2条、重点工作动态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,发布了《硚口区人民政府宗关街道办事处政府信息公开指南》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；同时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更新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了机关职能、机构设置、办公地址、办公时间、联系方式、负责人姓名等信息。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规范答复办理。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我办事处坚持不断规范依申请公开办理答复，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以依法公开、真实公开、规范高效为原则，结合实际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逐步深化，有效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推动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政府信息依申请公开工作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水平和质效提高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根据《政府信息公开条例》，不断完善政府信息公开申请的接收、审查、办理、答复程序，严把流程关、答复关、法律关，确保依申请答复工作办理及时、记录清晰、存档完整。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加强信息管理。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我办事处推进政府部门完善公开审核发布，在硚口区人民政府门户网站上的信息公开目录、信息名称、内容描述均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经保密安全审查，定期对政府门户网站上发布的信息进行审查，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确保信息公开内容更新及时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上传准确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发布规范，不存在信息内容重复发布或内容信息不完整的情况。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2022年，硚口区宗关街道办事处新制作规章0份，新制作规范性文件0份。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2022年，硚口区宗关街道办事处全年办理行政许可0件，办理行政处罚26件，办理行政强制8件。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2022年，硚口区宗关街道办事处无行政事业性收费。</w:t>
      </w:r>
    </w:p>
    <w:tbl>
      <w:tblPr>
        <w:tblStyle w:val="7"/>
        <w:tblW w:w="80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1947"/>
        <w:gridCol w:w="1945"/>
        <w:gridCol w:w="19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1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2022年，硚口区宗关街道办事处全年新收政府信息公开申请12份</w:t>
      </w:r>
      <w:r>
        <w:rPr>
          <w:rFonts w:hint="default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办理12份。从答复情况看，部分公开5份；不予公开1份，为属于四类过程性信息；无法提供6份，为本机关不掌握相关政府信息。</w:t>
      </w:r>
    </w:p>
    <w:tbl>
      <w:tblPr>
        <w:tblStyle w:val="7"/>
        <w:tblW w:w="80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29"/>
        <w:gridCol w:w="3010"/>
        <w:gridCol w:w="428"/>
        <w:gridCol w:w="353"/>
        <w:gridCol w:w="351"/>
        <w:gridCol w:w="654"/>
        <w:gridCol w:w="652"/>
        <w:gridCol w:w="352"/>
        <w:gridCol w:w="3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31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3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2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49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352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2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2022年，硚口区宗关街道办事处因政府信息公开工作被申请行政复议7件。从复议结果看，结果维持7件，尚未审结0件。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因政府信息公开提起行政诉讼4件。其中，未经复议直接起诉0件，复议后起诉4件。从审理情况看，结果维持4件，尚未审结0件。</w:t>
      </w:r>
    </w:p>
    <w:tbl>
      <w:tblPr>
        <w:tblStyle w:val="7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522"/>
        <w:gridCol w:w="521"/>
        <w:gridCol w:w="522"/>
        <w:gridCol w:w="523"/>
        <w:gridCol w:w="521"/>
        <w:gridCol w:w="523"/>
        <w:gridCol w:w="523"/>
        <w:gridCol w:w="522"/>
        <w:gridCol w:w="523"/>
        <w:gridCol w:w="522"/>
        <w:gridCol w:w="522"/>
        <w:gridCol w:w="522"/>
        <w:gridCol w:w="523"/>
        <w:gridCol w:w="5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9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2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6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6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（一）上年度存在的问题及改进情况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2021年度存在的问题：工作动态更新不够及时，依申请公开办理答复工作质效有待进一步提高。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改进情况：2022年，我办事处加大了对信息发布内容的审核和自查力度，安排专人定期审查工作动态更新情况，实现工作动态及时更新，按要求完成其他相关信息的发布。同时，加大了《中华人民共和国政府信息公开条例》的学习培训力度，切实提升了依申请公开办理工作质效，本年度未出现因信息公开提起行政复议、行政诉讼被驳回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（二）本年度存在的问题及下一步工作打算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2022年存在的问题：信息公开内容的广度和深度还不够；办事处部分科室对信息公开工作的重要性认识有待进一步提高。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工作打算：加强对信息公开工作人员与业务科室的沟通与衔接，努力将信息收集与公开同步进行，确保公开信息的及时、准确、全面，不断调整和充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实政府信息公开内容。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2022年度，我办事处收取政府信息处理费为0元。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2022年度，我办事处办理人大政协议题案6件，我办事处均为协办单位，全部按要求办理完毕。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</w:p>
    <w:p>
      <w:pPr>
        <w:adjustRightInd w:val="0"/>
        <w:snapToGrid w:val="0"/>
        <w:spacing w:line="720" w:lineRule="exact"/>
        <w:ind w:right="840" w:rightChars="4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武汉市</w:t>
      </w:r>
      <w:r>
        <w:rPr>
          <w:rFonts w:hint="eastAsia" w:ascii="仿宋" w:hAnsi="仿宋" w:eastAsia="仿宋" w:cs="仿宋_GB2312"/>
          <w:sz w:val="32"/>
          <w:szCs w:val="32"/>
        </w:rPr>
        <w:t>硚口区人民政府宗关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_GB2312"/>
          <w:sz w:val="32"/>
          <w:szCs w:val="32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720" w:lineRule="exact"/>
        <w:ind w:left="0" w:leftChars="0" w:right="2310" w:rightChars="1100" w:firstLine="0" w:firstLineChars="0"/>
        <w:jc w:val="right"/>
        <w:textAlignment w:val="auto"/>
        <w:outlineLvl w:val="9"/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_GB2312"/>
          <w:sz w:val="32"/>
          <w:szCs w:val="32"/>
        </w:rPr>
        <w:t>年1月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90E6"/>
    <w:multiLevelType w:val="singleLevel"/>
    <w:tmpl w:val="072690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A44643"/>
    <w:multiLevelType w:val="singleLevel"/>
    <w:tmpl w:val="74A4464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3AF1"/>
    <w:rsid w:val="0361476C"/>
    <w:rsid w:val="037C0CDF"/>
    <w:rsid w:val="054E0F0C"/>
    <w:rsid w:val="0751212A"/>
    <w:rsid w:val="0D865637"/>
    <w:rsid w:val="0EB257CA"/>
    <w:rsid w:val="10791846"/>
    <w:rsid w:val="11143FF7"/>
    <w:rsid w:val="14730610"/>
    <w:rsid w:val="14C857BF"/>
    <w:rsid w:val="16D42720"/>
    <w:rsid w:val="1A3639A8"/>
    <w:rsid w:val="1B024E65"/>
    <w:rsid w:val="1B311AA7"/>
    <w:rsid w:val="22AD7827"/>
    <w:rsid w:val="23D55D71"/>
    <w:rsid w:val="29FC74C3"/>
    <w:rsid w:val="2C7B4566"/>
    <w:rsid w:val="2D7E44FC"/>
    <w:rsid w:val="38283370"/>
    <w:rsid w:val="3D7E6885"/>
    <w:rsid w:val="42984B9E"/>
    <w:rsid w:val="430041A9"/>
    <w:rsid w:val="46822182"/>
    <w:rsid w:val="498B50EA"/>
    <w:rsid w:val="595E01D6"/>
    <w:rsid w:val="5D8C5A9C"/>
    <w:rsid w:val="60720FFC"/>
    <w:rsid w:val="661E79EB"/>
    <w:rsid w:val="69451CF3"/>
    <w:rsid w:val="6CC0780D"/>
    <w:rsid w:val="6CD86A68"/>
    <w:rsid w:val="6F544E08"/>
    <w:rsid w:val="73A30DC7"/>
    <w:rsid w:val="74440C6C"/>
    <w:rsid w:val="75A42B2D"/>
    <w:rsid w:val="75B90565"/>
    <w:rsid w:val="76DD563A"/>
    <w:rsid w:val="76FF19D5"/>
    <w:rsid w:val="7C805F18"/>
    <w:rsid w:val="7D2735DE"/>
    <w:rsid w:val="7E7E21D9"/>
    <w:rsid w:val="7FC56394"/>
    <w:rsid w:val="B4F77102"/>
    <w:rsid w:val="FBE79D8D"/>
    <w:rsid w:val="FBF7B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王珂</cp:lastModifiedBy>
  <cp:lastPrinted>2023-01-11T01:41:53Z</cp:lastPrinted>
  <dcterms:modified xsi:type="dcterms:W3CDTF">2023-01-11T01:53:19Z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