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432" w:lineRule="auto"/>
        <w:jc w:val="center"/>
        <w:rPr>
          <w:rFonts w:hint="eastAsia" w:asciiTheme="majorEastAsia" w:hAnsiTheme="majorEastAsia" w:eastAsiaTheme="majorEastAsia" w:cstheme="majorEastAsia"/>
          <w:b/>
          <w:bCs/>
          <w:color w:val="333333"/>
          <w:sz w:val="44"/>
          <w:szCs w:val="44"/>
          <w:lang w:val="en-US" w:eastAsia="zh-CN"/>
        </w:rPr>
      </w:pPr>
      <w:bookmarkStart w:id="0" w:name="_GoBack"/>
      <w:bookmarkEnd w:id="0"/>
      <w:r>
        <w:rPr>
          <w:rFonts w:hint="eastAsia" w:asciiTheme="majorEastAsia" w:hAnsiTheme="majorEastAsia" w:eastAsiaTheme="majorEastAsia" w:cstheme="majorEastAsia"/>
          <w:b/>
          <w:bCs/>
          <w:color w:val="333333"/>
          <w:sz w:val="44"/>
          <w:szCs w:val="44"/>
          <w:lang w:val="en-US" w:eastAsia="zh-CN"/>
        </w:rPr>
        <w:t>硚口区人民政府六角亭街道办事处</w:t>
      </w:r>
    </w:p>
    <w:p>
      <w:pPr>
        <w:pStyle w:val="6"/>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sz w:val="44"/>
          <w:szCs w:val="44"/>
          <w:lang w:eastAsia="zh-CN"/>
        </w:rPr>
      </w:pPr>
      <w:r>
        <w:rPr>
          <w:rFonts w:hint="eastAsia" w:asciiTheme="majorEastAsia" w:hAnsiTheme="majorEastAsia" w:eastAsiaTheme="majorEastAsia" w:cstheme="majorEastAsia"/>
          <w:b/>
          <w:bCs/>
          <w:color w:val="333333"/>
          <w:sz w:val="44"/>
          <w:szCs w:val="44"/>
          <w:lang w:val="en-US" w:eastAsia="zh-CN"/>
        </w:rPr>
        <w:t>2021年度</w:t>
      </w:r>
      <w:r>
        <w:rPr>
          <w:rFonts w:hint="eastAsia" w:asciiTheme="majorEastAsia" w:hAnsiTheme="majorEastAsia" w:eastAsiaTheme="majorEastAsia" w:cstheme="majorEastAsia"/>
          <w:b/>
          <w:bCs/>
          <w:color w:val="333333"/>
          <w:sz w:val="44"/>
          <w:szCs w:val="44"/>
        </w:rPr>
        <w:t>政府信息公开工作年度报告</w:t>
      </w:r>
    </w:p>
    <w:p>
      <w:pPr>
        <w:pStyle w:val="6"/>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年，六角亭街道办事处认真贯彻执行《中华人民共和国政府信息公开条例》及省、市、区有关信息公开工作要求，落实上级部门布置的工作任务，充分发挥区政府门户网站的第一平台作用，明确公示六角亭街道信息公开指南，及时公开各类信息。我街公开信息完整、规范，没有发生泄密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我街主要领导高度重视政府信息公开工作，明确由街道党政综合办公室分管领导分管信息公开工作，街道党政综合办公室专人负责具体落实开展此项工作。街道政府信息公开工作分管领导及工作人员积极参加上级部门组织的各种政府信息公开会议、培训等，接受各方监督，采取有效措施推进政府信息公开工作，进一步提高政府工作的透明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本年度，我街未收到信息公开申请，不存在因信息公开工作被申请行政复议、行政诉讼的情形。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2021年度，我街</w:t>
      </w:r>
      <w:r>
        <w:rPr>
          <w:rFonts w:hint="eastAsia" w:ascii="仿宋" w:hAnsi="仿宋" w:eastAsia="仿宋" w:cs="仿宋"/>
          <w:i w:val="0"/>
          <w:iCs w:val="0"/>
          <w:caps w:val="0"/>
          <w:color w:val="000000"/>
          <w:spacing w:val="0"/>
          <w:sz w:val="32"/>
          <w:szCs w:val="32"/>
          <w:shd w:val="clear" w:color="auto" w:fill="FFFFFF"/>
          <w:lang w:eastAsia="zh-CN"/>
        </w:rPr>
        <w:t>全年共发布信息</w:t>
      </w:r>
      <w:r>
        <w:rPr>
          <w:rFonts w:hint="eastAsia" w:ascii="仿宋" w:hAnsi="仿宋" w:eastAsia="仿宋" w:cs="仿宋"/>
          <w:i w:val="0"/>
          <w:iCs w:val="0"/>
          <w:caps w:val="0"/>
          <w:color w:val="000000"/>
          <w:spacing w:val="0"/>
          <w:sz w:val="32"/>
          <w:szCs w:val="32"/>
          <w:shd w:val="clear" w:color="auto" w:fill="FFFFFF"/>
          <w:lang w:val="en-US" w:eastAsia="zh-CN"/>
        </w:rPr>
        <w:t>16篇：新闻动态10篇、信息公开指南1篇、特困人员审批信息公开1次、临时救助人员审批信息公开1次、六角亭街政府购买服务指导性目录文件1篇、2021年度六角亭街道财政预决算公开各1篇。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2021年度我街未收到政府信息公开申请。</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34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333333"/>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2021年度我街不存在因政府信息公开工作被申请行政复议、行政诉讼的情况。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5"/>
        <w:gridCol w:w="615"/>
        <w:gridCol w:w="622"/>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eastAsia="zh-CN"/>
        </w:rPr>
        <w:t>上年度我街在政府信息公开工作存在的问题：</w:t>
      </w:r>
      <w:r>
        <w:rPr>
          <w:rFonts w:hint="eastAsia" w:ascii="仿宋" w:hAnsi="仿宋" w:eastAsia="仿宋" w:cs="仿宋"/>
          <w:i w:val="0"/>
          <w:iCs w:val="0"/>
          <w:caps w:val="0"/>
          <w:color w:val="000000"/>
          <w:spacing w:val="0"/>
          <w:sz w:val="32"/>
          <w:szCs w:val="32"/>
          <w:shd w:val="clear" w:color="auto" w:fill="FFFFFF"/>
        </w:rPr>
        <w:t>一是公开内容需要进一步拓面提质。二是政务公开队伍建设还需加强。</w:t>
      </w:r>
      <w:r>
        <w:rPr>
          <w:rFonts w:hint="eastAsia" w:ascii="仿宋" w:hAnsi="仿宋" w:eastAsia="仿宋" w:cs="仿宋"/>
          <w:i w:val="0"/>
          <w:iCs w:val="0"/>
          <w:caps w:val="0"/>
          <w:color w:val="000000"/>
          <w:spacing w:val="0"/>
          <w:sz w:val="32"/>
          <w:szCs w:val="32"/>
          <w:shd w:val="clear" w:color="auto" w:fill="FFFFFF"/>
          <w:lang w:val="en-US" w:eastAsia="zh-CN"/>
        </w:rPr>
        <w:t>本年度我街进一步规范信息公开的规范性，努力做到政府信息公开的内容不断充实和完善，提高政务公开水平；积极开展政府信息公开业务培训，提高政务信息工作人员素质。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本年度存在的问题：信息公开工作人员不足、专业能力有待提升。下一步将完善信息工作人员队伍建设，合理制定信息公开工作制度，组织街道各科室、中心、驻街队（所）信息联动，加强社区信息采集，动员街道干部积极参与，增加公开内容的广度和深度。同时继续开展业务人员培训，加强政策学习和业务知识培训，提升信息公开工作人员的信息处理效率和能力，确保我街及时、全面地完成信息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2021年度，我街收取政府信息处理费0元。本年度我街协办市、区级议提案共15件，均已按照相关要求办理完毕。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2021年度，我街已公开重点领域公益事业建设中特困人员救助供养和临时救助的2021年度审核审批信息。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          硚口区人民政府六角亭街道办事处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          2022年1月4日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 w:hAnsi="仿宋" w:eastAsia="仿宋" w:cs="仿宋"/>
          <w:i w:val="0"/>
          <w:iCs w:val="0"/>
          <w:caps w:val="0"/>
          <w:color w:val="000000"/>
          <w:spacing w:val="0"/>
          <w:sz w:val="32"/>
          <w:szCs w:val="32"/>
          <w:shd w:val="clear" w:color="auto" w:fill="FFFFFF"/>
          <w:lang w:val="en-US" w:eastAsia="zh-CN"/>
        </w:rPr>
      </w:pPr>
    </w:p>
    <w:sectPr>
      <w:footerReference r:id="rId3" w:type="default"/>
      <w:pgSz w:w="11906" w:h="16838"/>
      <w:pgMar w:top="1417" w:right="130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05DEA5-6E2B-4AD1-AA5B-E23DC2A86E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82B49F-BDE5-42AF-B251-FF8AB661FD73}"/>
  </w:font>
  <w:font w:name="方正小标宋_GBK">
    <w:altName w:val="Arial Unicode MS"/>
    <w:panose1 w:val="02000000000000000000"/>
    <w:charset w:val="86"/>
    <w:family w:val="auto"/>
    <w:pitch w:val="default"/>
    <w:sig w:usb0="00000000" w:usb1="00000000" w:usb2="00000000" w:usb3="00000000" w:csb0="00040000" w:csb1="00000000"/>
    <w:embedRegular r:id="rId3" w:fontKey="{158305B4-F23D-4A83-97D9-56DD2A554AEF}"/>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4" w:fontKey="{616271D1-4234-4681-871A-4810298E072D}"/>
  </w:font>
  <w:font w:name="楷体">
    <w:panose1 w:val="02010609060101010101"/>
    <w:charset w:val="86"/>
    <w:family w:val="auto"/>
    <w:pitch w:val="default"/>
    <w:sig w:usb0="800002BF" w:usb1="38CF7CFA" w:usb2="00000016" w:usb3="00000000" w:csb0="00040001" w:csb1="00000000"/>
    <w:embedRegular r:id="rId5" w:fontKey="{E357DF68-F5FA-4AE8-8826-7818D3AC4C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01C53"/>
    <w:multiLevelType w:val="singleLevel"/>
    <w:tmpl w:val="85501C5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00321E2C"/>
    <w:rsid w:val="01423F24"/>
    <w:rsid w:val="01B446F6"/>
    <w:rsid w:val="026E6F9B"/>
    <w:rsid w:val="030654B3"/>
    <w:rsid w:val="033D47FE"/>
    <w:rsid w:val="0399412E"/>
    <w:rsid w:val="045905A7"/>
    <w:rsid w:val="058A71DA"/>
    <w:rsid w:val="08031F33"/>
    <w:rsid w:val="099401D2"/>
    <w:rsid w:val="0C1E5223"/>
    <w:rsid w:val="0D9E2637"/>
    <w:rsid w:val="0DC9777B"/>
    <w:rsid w:val="0EFA4090"/>
    <w:rsid w:val="0F492922"/>
    <w:rsid w:val="11586E4C"/>
    <w:rsid w:val="11BC387F"/>
    <w:rsid w:val="133B41FB"/>
    <w:rsid w:val="13912AE9"/>
    <w:rsid w:val="15032E76"/>
    <w:rsid w:val="15E05B30"/>
    <w:rsid w:val="170D246B"/>
    <w:rsid w:val="18297247"/>
    <w:rsid w:val="18910E95"/>
    <w:rsid w:val="1B4D379A"/>
    <w:rsid w:val="1CAC2742"/>
    <w:rsid w:val="1D57232D"/>
    <w:rsid w:val="1E4A0464"/>
    <w:rsid w:val="1FF4722A"/>
    <w:rsid w:val="224D19E7"/>
    <w:rsid w:val="238B1E27"/>
    <w:rsid w:val="23AB5501"/>
    <w:rsid w:val="246E2621"/>
    <w:rsid w:val="25E44CFA"/>
    <w:rsid w:val="275B723E"/>
    <w:rsid w:val="28240813"/>
    <w:rsid w:val="28AA3182"/>
    <w:rsid w:val="2F154177"/>
    <w:rsid w:val="332045DD"/>
    <w:rsid w:val="33EF31E8"/>
    <w:rsid w:val="349D0E96"/>
    <w:rsid w:val="36AE1139"/>
    <w:rsid w:val="379E73FF"/>
    <w:rsid w:val="37C201EF"/>
    <w:rsid w:val="380214FF"/>
    <w:rsid w:val="397119C0"/>
    <w:rsid w:val="3B3A1AF4"/>
    <w:rsid w:val="3C3E5CA8"/>
    <w:rsid w:val="3C6359B0"/>
    <w:rsid w:val="3CFB0E50"/>
    <w:rsid w:val="3D932E36"/>
    <w:rsid w:val="3D9F653F"/>
    <w:rsid w:val="3DA60DBB"/>
    <w:rsid w:val="3E0B4CF5"/>
    <w:rsid w:val="3FCA4B24"/>
    <w:rsid w:val="40316936"/>
    <w:rsid w:val="41634D4B"/>
    <w:rsid w:val="421F738E"/>
    <w:rsid w:val="42731488"/>
    <w:rsid w:val="441A05C0"/>
    <w:rsid w:val="46080139"/>
    <w:rsid w:val="473311E6"/>
    <w:rsid w:val="473C53BE"/>
    <w:rsid w:val="47A125F4"/>
    <w:rsid w:val="493279A7"/>
    <w:rsid w:val="4941408E"/>
    <w:rsid w:val="4A1C7B64"/>
    <w:rsid w:val="4B1A6D6D"/>
    <w:rsid w:val="4B5217BF"/>
    <w:rsid w:val="4C7D362F"/>
    <w:rsid w:val="4CCF19B1"/>
    <w:rsid w:val="4F740466"/>
    <w:rsid w:val="5003209D"/>
    <w:rsid w:val="503E4CDE"/>
    <w:rsid w:val="512526AC"/>
    <w:rsid w:val="522D3402"/>
    <w:rsid w:val="5447157B"/>
    <w:rsid w:val="545D53B3"/>
    <w:rsid w:val="55F35A65"/>
    <w:rsid w:val="565407E9"/>
    <w:rsid w:val="567809C3"/>
    <w:rsid w:val="56FC36A7"/>
    <w:rsid w:val="57A75A04"/>
    <w:rsid w:val="589D1393"/>
    <w:rsid w:val="59777658"/>
    <w:rsid w:val="5E767EDE"/>
    <w:rsid w:val="5F011E9E"/>
    <w:rsid w:val="60806F7C"/>
    <w:rsid w:val="60C018E5"/>
    <w:rsid w:val="61D67E68"/>
    <w:rsid w:val="61DE0274"/>
    <w:rsid w:val="62E06413"/>
    <w:rsid w:val="63ED120A"/>
    <w:rsid w:val="66805D9E"/>
    <w:rsid w:val="66BB3B6E"/>
    <w:rsid w:val="66CA7019"/>
    <w:rsid w:val="68060525"/>
    <w:rsid w:val="68CF6FA4"/>
    <w:rsid w:val="68FB72E9"/>
    <w:rsid w:val="6BD2684C"/>
    <w:rsid w:val="6D8A0CFE"/>
    <w:rsid w:val="6E3E3CA6"/>
    <w:rsid w:val="6EA14455"/>
    <w:rsid w:val="714125CE"/>
    <w:rsid w:val="72F773E8"/>
    <w:rsid w:val="73A40752"/>
    <w:rsid w:val="74BA691F"/>
    <w:rsid w:val="74D472B5"/>
    <w:rsid w:val="76747780"/>
    <w:rsid w:val="7686115E"/>
    <w:rsid w:val="7884521F"/>
    <w:rsid w:val="78ED6C51"/>
    <w:rsid w:val="79181E66"/>
    <w:rsid w:val="79515378"/>
    <w:rsid w:val="797F4BA6"/>
    <w:rsid w:val="79815C5D"/>
    <w:rsid w:val="79FB1236"/>
    <w:rsid w:val="7A1E11D9"/>
    <w:rsid w:val="7AF10BC1"/>
    <w:rsid w:val="7AF4420D"/>
    <w:rsid w:val="7EBF3E8F"/>
    <w:rsid w:val="7F3E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Administrator</cp:lastModifiedBy>
  <cp:lastPrinted>2022-01-14T00:49:35Z</cp:lastPrinted>
  <dcterms:modified xsi:type="dcterms:W3CDTF">2022-01-14T01:04:04Z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52E8AA07990F44158D9EAE0F520FB0BA</vt:lpwstr>
  </property>
</Properties>
</file>