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13" w:rsidRDefault="0002514A">
      <w:pPr>
        <w:adjustRightInd w:val="0"/>
        <w:snapToGrid w:val="0"/>
        <w:spacing w:line="560" w:lineRule="exact"/>
        <w:jc w:val="center"/>
        <w:rPr>
          <w:rFonts w:asciiTheme="majorEastAsia" w:eastAsiaTheme="majorEastAsia" w:hAnsiTheme="majorEastAsia" w:cs="方正小标宋_GBK"/>
          <w:b/>
          <w:sz w:val="44"/>
          <w:szCs w:val="44"/>
        </w:rPr>
      </w:pPr>
      <w:r>
        <w:rPr>
          <w:rFonts w:asciiTheme="majorEastAsia" w:eastAsiaTheme="majorEastAsia" w:hAnsiTheme="majorEastAsia" w:cs="方正小标宋_GBK" w:hint="eastAsia"/>
          <w:b/>
          <w:sz w:val="44"/>
          <w:szCs w:val="44"/>
        </w:rPr>
        <w:t>硚口区汉中街道办事处</w:t>
      </w:r>
      <w:r>
        <w:rPr>
          <w:rFonts w:asciiTheme="majorEastAsia" w:eastAsiaTheme="majorEastAsia" w:hAnsiTheme="majorEastAsia" w:cs="方正小标宋_GBK" w:hint="eastAsia"/>
          <w:b/>
          <w:sz w:val="44"/>
          <w:szCs w:val="44"/>
        </w:rPr>
        <w:t>2022</w:t>
      </w:r>
      <w:r>
        <w:rPr>
          <w:rFonts w:asciiTheme="majorEastAsia" w:eastAsiaTheme="majorEastAsia" w:hAnsiTheme="majorEastAsia" w:cs="方正小标宋_GBK" w:hint="eastAsia"/>
          <w:b/>
          <w:sz w:val="44"/>
          <w:szCs w:val="44"/>
        </w:rPr>
        <w:t>年度政府</w:t>
      </w:r>
    </w:p>
    <w:p w:rsidR="00FA7D13" w:rsidRDefault="0002514A">
      <w:pPr>
        <w:adjustRightInd w:val="0"/>
        <w:snapToGrid w:val="0"/>
        <w:spacing w:line="560" w:lineRule="exact"/>
        <w:jc w:val="center"/>
        <w:rPr>
          <w:rFonts w:asciiTheme="majorEastAsia" w:eastAsiaTheme="majorEastAsia" w:hAnsiTheme="majorEastAsia" w:cs="方正小标宋_GBK"/>
          <w:b/>
          <w:sz w:val="44"/>
          <w:szCs w:val="44"/>
        </w:rPr>
      </w:pPr>
      <w:r>
        <w:rPr>
          <w:rFonts w:asciiTheme="majorEastAsia" w:eastAsiaTheme="majorEastAsia" w:hAnsiTheme="majorEastAsia" w:cs="方正小标宋_GBK" w:hint="eastAsia"/>
          <w:b/>
          <w:sz w:val="44"/>
          <w:szCs w:val="44"/>
        </w:rPr>
        <w:t>信息公开工作年度报告</w:t>
      </w:r>
    </w:p>
    <w:p w:rsidR="00FA7D13" w:rsidRDefault="00FA7D13">
      <w:pPr>
        <w:adjustRightInd w:val="0"/>
        <w:snapToGrid w:val="0"/>
        <w:spacing w:line="560" w:lineRule="exact"/>
        <w:rPr>
          <w:rFonts w:ascii="仿宋" w:hAnsi="仿宋" w:cs="仿宋"/>
          <w:szCs w:val="32"/>
        </w:rPr>
      </w:pPr>
    </w:p>
    <w:p w:rsidR="00FA7D13" w:rsidRDefault="0002514A">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一、总体情况</w:t>
      </w:r>
    </w:p>
    <w:p w:rsidR="00FA7D13" w:rsidRDefault="0002514A">
      <w:pPr>
        <w:adjustRightInd w:val="0"/>
        <w:snapToGrid w:val="0"/>
        <w:spacing w:line="560" w:lineRule="exact"/>
        <w:ind w:firstLineChars="200" w:firstLine="640"/>
        <w:rPr>
          <w:rFonts w:ascii="仿宋" w:hAnsi="仿宋" w:cs="仿宋"/>
          <w:szCs w:val="32"/>
        </w:rPr>
      </w:pPr>
      <w:r>
        <w:rPr>
          <w:rFonts w:ascii="仿宋" w:hAnsi="仿宋" w:cs="仿宋" w:hint="eastAsia"/>
          <w:szCs w:val="32"/>
        </w:rPr>
        <w:t>2022</w:t>
      </w:r>
      <w:r>
        <w:rPr>
          <w:rFonts w:ascii="仿宋" w:hAnsi="仿宋" w:cs="仿宋" w:hint="eastAsia"/>
          <w:szCs w:val="32"/>
        </w:rPr>
        <w:t>年，在区委、区政府的正确领导下，汉中街道办事处深入贯彻《中华人民共和国政府信息公开条例》，切实提高网站建设和管理水平，严格执行政府信息公开有关制度，自觉接受社会监督，不断提升信息公开和办事服务水平，为建立美好环境与幸福生活共同缔造工作机制奠定了坚实的基础。</w:t>
      </w:r>
    </w:p>
    <w:p w:rsidR="00FA7D13" w:rsidRDefault="0002514A">
      <w:pPr>
        <w:adjustRightInd w:val="0"/>
        <w:snapToGrid w:val="0"/>
        <w:spacing w:line="560" w:lineRule="exact"/>
        <w:ind w:firstLineChars="200" w:firstLine="640"/>
        <w:rPr>
          <w:rFonts w:ascii="楷体" w:eastAsia="楷体" w:hAnsi="楷体" w:cs="楷体"/>
          <w:szCs w:val="32"/>
        </w:rPr>
      </w:pPr>
      <w:r>
        <w:rPr>
          <w:rFonts w:ascii="楷体" w:eastAsia="楷体" w:hAnsi="楷体" w:cs="楷体" w:hint="eastAsia"/>
          <w:szCs w:val="32"/>
        </w:rPr>
        <w:t>（一）及时准确发布信息</w:t>
      </w:r>
    </w:p>
    <w:p w:rsidR="00FA7D13" w:rsidRDefault="0002514A">
      <w:pPr>
        <w:adjustRightInd w:val="0"/>
        <w:snapToGrid w:val="0"/>
        <w:spacing w:line="560" w:lineRule="exact"/>
        <w:ind w:firstLineChars="200" w:firstLine="640"/>
        <w:rPr>
          <w:rFonts w:ascii="仿宋" w:hAnsi="仿宋" w:cs="仿宋"/>
          <w:szCs w:val="32"/>
        </w:rPr>
      </w:pPr>
      <w:r>
        <w:rPr>
          <w:rFonts w:ascii="仿宋" w:hAnsi="仿宋" w:cs="仿宋" w:hint="eastAsia"/>
          <w:szCs w:val="32"/>
        </w:rPr>
        <w:t>按照区政务服务和大数据管理局的统一规范要求，街道组织机构、部门文件、办事指南、工作动态、计划总结、重点工程、决算预算等基本内容，都及时在硚口区政府门户网站向社会公布。汉中街道</w:t>
      </w:r>
      <w:r>
        <w:rPr>
          <w:rFonts w:ascii="仿宋" w:hAnsi="仿宋" w:cs="仿宋" w:hint="eastAsia"/>
          <w:szCs w:val="32"/>
        </w:rPr>
        <w:t>2022</w:t>
      </w:r>
      <w:r>
        <w:rPr>
          <w:rFonts w:ascii="仿宋" w:hAnsi="仿宋" w:cs="仿宋" w:hint="eastAsia"/>
          <w:szCs w:val="32"/>
        </w:rPr>
        <w:t>年度在硚口区政府门户网站主动公开政府信息</w:t>
      </w:r>
      <w:r>
        <w:rPr>
          <w:rFonts w:ascii="仿宋" w:hAnsi="仿宋" w:cs="仿宋" w:hint="eastAsia"/>
          <w:szCs w:val="32"/>
        </w:rPr>
        <w:t>27</w:t>
      </w:r>
      <w:r>
        <w:rPr>
          <w:rFonts w:ascii="仿宋" w:hAnsi="仿宋" w:cs="仿宋" w:hint="eastAsia"/>
          <w:szCs w:val="32"/>
        </w:rPr>
        <w:t>则，其中工作动态</w:t>
      </w:r>
      <w:r>
        <w:rPr>
          <w:rFonts w:ascii="仿宋" w:hAnsi="仿宋" w:cs="仿宋" w:hint="eastAsia"/>
          <w:szCs w:val="32"/>
        </w:rPr>
        <w:t>23</w:t>
      </w:r>
      <w:r>
        <w:rPr>
          <w:rFonts w:ascii="仿宋" w:hAnsi="仿宋" w:cs="仿宋" w:hint="eastAsia"/>
          <w:szCs w:val="32"/>
        </w:rPr>
        <w:t>则，财政预决算</w:t>
      </w:r>
      <w:r>
        <w:rPr>
          <w:rFonts w:ascii="仿宋" w:hAnsi="仿宋" w:cs="仿宋" w:hint="eastAsia"/>
          <w:szCs w:val="32"/>
        </w:rPr>
        <w:t>2</w:t>
      </w:r>
      <w:r>
        <w:rPr>
          <w:rFonts w:ascii="仿宋" w:hAnsi="仿宋" w:cs="仿宋" w:hint="eastAsia"/>
          <w:szCs w:val="32"/>
        </w:rPr>
        <w:t>则，工作计划</w:t>
      </w:r>
      <w:r>
        <w:rPr>
          <w:rFonts w:ascii="仿宋" w:hAnsi="仿宋" w:cs="仿宋" w:hint="eastAsia"/>
          <w:szCs w:val="32"/>
        </w:rPr>
        <w:t>1</w:t>
      </w:r>
      <w:r>
        <w:rPr>
          <w:rFonts w:ascii="仿宋" w:hAnsi="仿宋" w:cs="仿宋" w:hint="eastAsia"/>
          <w:szCs w:val="32"/>
        </w:rPr>
        <w:t>则，工作总结</w:t>
      </w:r>
      <w:r>
        <w:rPr>
          <w:rFonts w:ascii="仿宋" w:hAnsi="仿宋" w:cs="仿宋" w:hint="eastAsia"/>
          <w:szCs w:val="32"/>
        </w:rPr>
        <w:t>1</w:t>
      </w:r>
      <w:r>
        <w:rPr>
          <w:rFonts w:ascii="仿宋" w:hAnsi="仿宋" w:cs="仿宋" w:hint="eastAsia"/>
          <w:szCs w:val="32"/>
        </w:rPr>
        <w:t>则。</w:t>
      </w:r>
      <w:proofErr w:type="gramStart"/>
      <w:r>
        <w:rPr>
          <w:rFonts w:ascii="仿宋" w:hAnsi="仿宋" w:cs="仿宋" w:hint="eastAsia"/>
          <w:szCs w:val="32"/>
        </w:rPr>
        <w:t>确保我街政府</w:t>
      </w:r>
      <w:proofErr w:type="gramEnd"/>
      <w:r>
        <w:rPr>
          <w:rFonts w:ascii="仿宋" w:hAnsi="仿宋" w:cs="仿宋" w:hint="eastAsia"/>
          <w:szCs w:val="32"/>
        </w:rPr>
        <w:t>网站栏目设置健全规范、公开内容全面完整、便民信息及时更新。</w:t>
      </w:r>
    </w:p>
    <w:p w:rsidR="00FA7D13" w:rsidRDefault="0002514A">
      <w:pPr>
        <w:adjustRightInd w:val="0"/>
        <w:snapToGrid w:val="0"/>
        <w:spacing w:line="560" w:lineRule="exact"/>
        <w:ind w:firstLineChars="200" w:firstLine="640"/>
        <w:rPr>
          <w:rFonts w:ascii="楷体" w:eastAsia="楷体" w:hAnsi="楷体" w:cs="楷体"/>
          <w:szCs w:val="32"/>
        </w:rPr>
      </w:pPr>
      <w:r>
        <w:rPr>
          <w:rFonts w:ascii="楷体" w:eastAsia="楷体" w:hAnsi="楷体" w:cs="楷体" w:hint="eastAsia"/>
          <w:szCs w:val="32"/>
        </w:rPr>
        <w:t>（二）加强审核，确保质量</w:t>
      </w:r>
    </w:p>
    <w:p w:rsidR="00FA7D13" w:rsidRDefault="0002514A">
      <w:pPr>
        <w:adjustRightInd w:val="0"/>
        <w:snapToGrid w:val="0"/>
        <w:spacing w:line="560" w:lineRule="exact"/>
        <w:ind w:firstLineChars="200" w:firstLine="640"/>
        <w:rPr>
          <w:rFonts w:ascii="仿宋" w:hAnsi="仿宋" w:cs="仿宋"/>
          <w:szCs w:val="32"/>
        </w:rPr>
      </w:pPr>
      <w:r>
        <w:rPr>
          <w:rFonts w:ascii="仿宋" w:hAnsi="仿宋" w:cs="仿宋" w:hint="eastAsia"/>
          <w:szCs w:val="32"/>
        </w:rPr>
        <w:t>一是规范网站信息发布审核制度。坚持信息发布三审制，向各类网站报送的信息必须经分管领导审批，确保发布信息的政治性、客观性、</w:t>
      </w:r>
      <w:r>
        <w:rPr>
          <w:rFonts w:ascii="仿宋" w:hAnsi="仿宋" w:cs="仿宋" w:hint="eastAsia"/>
          <w:szCs w:val="32"/>
        </w:rPr>
        <w:t>时效性。二是推进大数据核查监督工作。按照统分结合，系统推进、实事求是、分类处置的原则，积极开展大数据监督检查工作，确保便民服务信息的准确性。三是加强网站发布信息自查。</w:t>
      </w:r>
      <w:r>
        <w:rPr>
          <w:rFonts w:ascii="仿宋" w:hAnsi="仿宋" w:cs="仿宋" w:hint="eastAsia"/>
          <w:szCs w:val="32"/>
        </w:rPr>
        <w:t>2022</w:t>
      </w:r>
      <w:r>
        <w:rPr>
          <w:rFonts w:ascii="仿宋" w:hAnsi="仿宋" w:cs="仿宋" w:hint="eastAsia"/>
          <w:szCs w:val="32"/>
        </w:rPr>
        <w:t>年对党政信息网发布信息进行自查</w:t>
      </w:r>
      <w:r>
        <w:rPr>
          <w:rFonts w:ascii="仿宋" w:hAnsi="仿宋" w:cs="仿宋" w:hint="eastAsia"/>
          <w:szCs w:val="32"/>
        </w:rPr>
        <w:t>5</w:t>
      </w:r>
      <w:r>
        <w:rPr>
          <w:rFonts w:ascii="仿宋" w:hAnsi="仿宋" w:cs="仿宋" w:hint="eastAsia"/>
          <w:szCs w:val="32"/>
        </w:rPr>
        <w:t>次，确保发布信息无错链、漏链、错别字，</w:t>
      </w:r>
      <w:proofErr w:type="gramStart"/>
      <w:r>
        <w:rPr>
          <w:rFonts w:ascii="仿宋" w:hAnsi="仿宋" w:cs="仿宋" w:hint="eastAsia"/>
          <w:szCs w:val="32"/>
        </w:rPr>
        <w:t>无宣传</w:t>
      </w:r>
      <w:proofErr w:type="gramEnd"/>
      <w:r>
        <w:rPr>
          <w:rFonts w:ascii="仿宋" w:hAnsi="仿宋" w:cs="仿宋" w:hint="eastAsia"/>
          <w:szCs w:val="32"/>
        </w:rPr>
        <w:t>口号、宣传页面过多等问</w:t>
      </w:r>
      <w:r>
        <w:rPr>
          <w:rFonts w:ascii="仿宋" w:hAnsi="仿宋" w:cs="仿宋" w:hint="eastAsia"/>
          <w:szCs w:val="32"/>
        </w:rPr>
        <w:lastRenderedPageBreak/>
        <w:t>题。</w:t>
      </w:r>
    </w:p>
    <w:p w:rsidR="00FA7D13" w:rsidRDefault="0002514A">
      <w:pPr>
        <w:numPr>
          <w:ilvl w:val="0"/>
          <w:numId w:val="1"/>
        </w:numPr>
        <w:adjustRightInd w:val="0"/>
        <w:snapToGrid w:val="0"/>
        <w:spacing w:line="560" w:lineRule="exact"/>
        <w:ind w:firstLineChars="200" w:firstLine="640"/>
        <w:rPr>
          <w:rFonts w:ascii="楷体" w:eastAsia="楷体" w:hAnsi="楷体" w:cs="楷体"/>
          <w:szCs w:val="32"/>
        </w:rPr>
      </w:pPr>
      <w:r>
        <w:rPr>
          <w:rFonts w:ascii="楷体" w:eastAsia="楷体" w:hAnsi="楷体" w:cs="楷体" w:hint="eastAsia"/>
          <w:szCs w:val="32"/>
        </w:rPr>
        <w:t>切实提升网站服务效率</w:t>
      </w:r>
    </w:p>
    <w:p w:rsidR="00FA7D13" w:rsidRDefault="0002514A">
      <w:pPr>
        <w:adjustRightInd w:val="0"/>
        <w:snapToGrid w:val="0"/>
        <w:spacing w:line="560" w:lineRule="exact"/>
        <w:ind w:firstLineChars="200" w:firstLine="640"/>
        <w:rPr>
          <w:rFonts w:ascii="仿宋" w:hAnsi="仿宋" w:cs="仿宋"/>
          <w:szCs w:val="32"/>
        </w:rPr>
      </w:pPr>
      <w:r>
        <w:rPr>
          <w:rFonts w:ascii="仿宋" w:hAnsi="仿宋" w:cs="仿宋" w:hint="eastAsia"/>
          <w:szCs w:val="32"/>
        </w:rPr>
        <w:t>一是加强网站调试管理。定期对网站查询系统、办事系统进行调试，确保便民服务信息易于查找获取，避免链接打不开、使用不方便等问题。二是规范页面设置，确保便民服务信息的实用性、便利性、准确性。及时检查办事指南的准确性和便</w:t>
      </w:r>
      <w:r>
        <w:rPr>
          <w:rFonts w:ascii="仿宋" w:hAnsi="仿宋" w:cs="仿宋" w:hint="eastAsia"/>
          <w:szCs w:val="32"/>
        </w:rPr>
        <w:t>捷性，避免出现错误引导问题。三是强化“双评议”工作。为强化评议公开，利用宣传展板、简报刊物等途径向服务对象和社会群众宣传权力清单及办事指南流程，多种渠道接受评议监督和群众建议，提升群众对网站服务的满意率。</w:t>
      </w:r>
    </w:p>
    <w:p w:rsidR="00FA7D13" w:rsidRDefault="0002514A">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二、主动公开政府信息情况</w:t>
      </w:r>
    </w:p>
    <w:p w:rsidR="00FA7D13" w:rsidRDefault="0002514A">
      <w:pPr>
        <w:adjustRightInd w:val="0"/>
        <w:snapToGrid w:val="0"/>
        <w:spacing w:line="560" w:lineRule="exact"/>
        <w:ind w:firstLineChars="200" w:firstLine="640"/>
        <w:rPr>
          <w:rFonts w:ascii="仿宋" w:hAnsi="仿宋" w:cs="仿宋"/>
          <w:szCs w:val="32"/>
        </w:rPr>
      </w:pPr>
      <w:r>
        <w:rPr>
          <w:rFonts w:ascii="仿宋" w:hAnsi="仿宋" w:cs="仿宋" w:hint="eastAsia"/>
          <w:szCs w:val="32"/>
        </w:rPr>
        <w:t>2022</w:t>
      </w:r>
      <w:r>
        <w:rPr>
          <w:rFonts w:ascii="仿宋" w:hAnsi="仿宋" w:cs="仿宋" w:hint="eastAsia"/>
          <w:szCs w:val="32"/>
        </w:rPr>
        <w:t>年，</w:t>
      </w:r>
      <w:proofErr w:type="gramStart"/>
      <w:r>
        <w:rPr>
          <w:rFonts w:ascii="仿宋" w:hAnsi="仿宋" w:cs="仿宋" w:hint="eastAsia"/>
          <w:szCs w:val="32"/>
        </w:rPr>
        <w:t>我街政府</w:t>
      </w:r>
      <w:proofErr w:type="gramEnd"/>
      <w:r>
        <w:rPr>
          <w:rFonts w:ascii="仿宋" w:hAnsi="仿宋" w:cs="仿宋" w:hint="eastAsia"/>
          <w:szCs w:val="32"/>
        </w:rPr>
        <w:t>信息公开工作以习近平新时代中国特色社会主义思想为指导，认真落实国家、省、市关于全面推进政府信息公开工作部署，“以公开为常态、不公开为例外”，立足问题导向，坚持以人民为中心的发展思想，紧紧围绕党和政府中心工作及群众关注关切，聚焦做好“六稳”工作、落实“六保”任务</w:t>
      </w:r>
      <w:r>
        <w:rPr>
          <w:rFonts w:ascii="仿宋" w:hAnsi="仿宋" w:cs="仿宋" w:hint="eastAsia"/>
          <w:szCs w:val="32"/>
        </w:rPr>
        <w:t>，着眼深化“放管服”改革优化营商环境，全面推进政府信息公开工作。依托政务公开扩大社会有序参与，实现社会治理“共建、共治、共享”的新格局。以公开稳预期、强监督、促落实、优服务，切实增强人民群众满意度、获得感、安全感。着力加强政策文件解读，推进重要决策和执行公开，深化政府服务信息公开，深化重点领域信息公开，推动“放管服”改革信息公开，推进重点民生领域信息公开。</w:t>
      </w:r>
    </w:p>
    <w:p w:rsidR="00FA7D13" w:rsidRDefault="00FA7D13"/>
    <w:p w:rsidR="00FA7D13" w:rsidRDefault="00FA7D13"/>
    <w:tbl>
      <w:tblPr>
        <w:tblW w:w="8420" w:type="dxa"/>
        <w:jc w:val="center"/>
        <w:tblLayout w:type="fixed"/>
        <w:tblCellMar>
          <w:left w:w="0" w:type="dxa"/>
          <w:right w:w="0" w:type="dxa"/>
        </w:tblCellMar>
        <w:tblLook w:val="04A0" w:firstRow="1" w:lastRow="0" w:firstColumn="1" w:lastColumn="0" w:noHBand="0" w:noVBand="1"/>
      </w:tblPr>
      <w:tblGrid>
        <w:gridCol w:w="2105"/>
        <w:gridCol w:w="2105"/>
        <w:gridCol w:w="2105"/>
        <w:gridCol w:w="2105"/>
      </w:tblGrid>
      <w:tr w:rsidR="00FA7D13">
        <w:trPr>
          <w:trHeight w:val="340"/>
          <w:jc w:val="center"/>
        </w:trPr>
        <w:tc>
          <w:tcPr>
            <w:tcW w:w="842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lastRenderedPageBreak/>
              <w:t>第二十条第（一）项</w:t>
            </w:r>
          </w:p>
        </w:tc>
      </w:tr>
      <w:tr w:rsidR="00FA7D13">
        <w:trPr>
          <w:trHeight w:val="340"/>
          <w:jc w:val="center"/>
        </w:trPr>
        <w:tc>
          <w:tcPr>
            <w:tcW w:w="210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信息内容</w:t>
            </w:r>
          </w:p>
        </w:tc>
        <w:tc>
          <w:tcPr>
            <w:tcW w:w="210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本年</w:t>
            </w:r>
            <w:r>
              <w:rPr>
                <w:rFonts w:ascii="宋体" w:eastAsia="宋体" w:hAnsi="宋体" w:cs="宋体" w:hint="eastAsia"/>
                <w:color w:val="333333"/>
                <w:kern w:val="0"/>
                <w:sz w:val="21"/>
                <w:szCs w:val="21"/>
                <w:lang w:bidi="ar"/>
              </w:rPr>
              <w:t>制发件数</w:t>
            </w:r>
          </w:p>
        </w:tc>
        <w:tc>
          <w:tcPr>
            <w:tcW w:w="2105" w:type="dxa"/>
            <w:tcBorders>
              <w:top w:val="single" w:sz="8" w:space="0" w:color="auto"/>
              <w:left w:val="nil"/>
              <w:bottom w:val="single" w:sz="8" w:space="0" w:color="auto"/>
              <w:right w:val="single" w:sz="4"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本年废止件数</w:t>
            </w:r>
          </w:p>
        </w:tc>
        <w:tc>
          <w:tcPr>
            <w:tcW w:w="210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现行有效件</w:t>
            </w:r>
            <w:r>
              <w:rPr>
                <w:rFonts w:ascii="宋体" w:eastAsia="宋体" w:hAnsi="宋体" w:cs="宋体" w:hint="eastAsia"/>
                <w:color w:val="333333"/>
                <w:kern w:val="0"/>
                <w:sz w:val="21"/>
                <w:szCs w:val="21"/>
                <w:lang w:bidi="ar"/>
              </w:rPr>
              <w:t>数</w:t>
            </w:r>
          </w:p>
        </w:tc>
      </w:tr>
      <w:tr w:rsidR="00FA7D13">
        <w:trPr>
          <w:trHeight w:val="90"/>
          <w:jc w:val="center"/>
        </w:trPr>
        <w:tc>
          <w:tcPr>
            <w:tcW w:w="210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left"/>
              <w:rPr>
                <w:sz w:val="21"/>
                <w:szCs w:val="21"/>
              </w:rPr>
            </w:pPr>
            <w:r>
              <w:rPr>
                <w:rFonts w:ascii="宋体" w:eastAsia="宋体" w:hAnsi="宋体" w:cs="宋体" w:hint="eastAsia"/>
                <w:color w:val="000000"/>
                <w:kern w:val="0"/>
                <w:sz w:val="21"/>
                <w:szCs w:val="21"/>
                <w:lang w:bidi="ar"/>
              </w:rPr>
              <w:t>规章</w:t>
            </w:r>
          </w:p>
        </w:tc>
        <w:tc>
          <w:tcPr>
            <w:tcW w:w="2105" w:type="dxa"/>
            <w:tcBorders>
              <w:top w:val="nil"/>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0</w:t>
            </w:r>
          </w:p>
        </w:tc>
        <w:tc>
          <w:tcPr>
            <w:tcW w:w="2105" w:type="dxa"/>
            <w:tcBorders>
              <w:top w:val="nil"/>
              <w:left w:val="nil"/>
              <w:bottom w:val="single" w:sz="8" w:space="0" w:color="auto"/>
              <w:right w:val="single" w:sz="4"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0</w:t>
            </w:r>
          </w:p>
        </w:tc>
        <w:tc>
          <w:tcPr>
            <w:tcW w:w="2105" w:type="dxa"/>
            <w:tcBorders>
              <w:top w:val="nil"/>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ind w:firstLineChars="100" w:firstLine="210"/>
              <w:jc w:val="center"/>
              <w:rPr>
                <w:sz w:val="21"/>
                <w:szCs w:val="21"/>
              </w:rPr>
            </w:pPr>
            <w:r>
              <w:rPr>
                <w:rFonts w:hint="eastAsia"/>
                <w:sz w:val="21"/>
                <w:szCs w:val="21"/>
              </w:rPr>
              <w:t>0</w:t>
            </w:r>
          </w:p>
        </w:tc>
      </w:tr>
      <w:tr w:rsidR="00FA7D13">
        <w:trPr>
          <w:trHeight w:val="340"/>
          <w:jc w:val="center"/>
        </w:trPr>
        <w:tc>
          <w:tcPr>
            <w:tcW w:w="210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left"/>
              <w:rPr>
                <w:sz w:val="21"/>
                <w:szCs w:val="21"/>
              </w:rPr>
            </w:pPr>
            <w:r>
              <w:rPr>
                <w:rFonts w:ascii="宋体" w:eastAsia="宋体" w:hAnsi="宋体" w:cs="宋体" w:hint="eastAsia"/>
                <w:color w:val="000000"/>
                <w:kern w:val="0"/>
                <w:sz w:val="21"/>
                <w:szCs w:val="21"/>
                <w:lang w:bidi="ar"/>
              </w:rPr>
              <w:t>行政规范性文件</w:t>
            </w:r>
          </w:p>
        </w:tc>
        <w:tc>
          <w:tcPr>
            <w:tcW w:w="2105" w:type="dxa"/>
            <w:tcBorders>
              <w:top w:val="nil"/>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0</w:t>
            </w:r>
          </w:p>
        </w:tc>
        <w:tc>
          <w:tcPr>
            <w:tcW w:w="2105" w:type="dxa"/>
            <w:tcBorders>
              <w:top w:val="nil"/>
              <w:left w:val="nil"/>
              <w:bottom w:val="single" w:sz="8" w:space="0" w:color="auto"/>
              <w:right w:val="single" w:sz="4"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0</w:t>
            </w:r>
          </w:p>
        </w:tc>
        <w:tc>
          <w:tcPr>
            <w:tcW w:w="2105" w:type="dxa"/>
            <w:tcBorders>
              <w:top w:val="nil"/>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ind w:firstLineChars="100" w:firstLine="210"/>
              <w:jc w:val="center"/>
              <w:rPr>
                <w:sz w:val="21"/>
                <w:szCs w:val="21"/>
              </w:rPr>
            </w:pPr>
            <w:r>
              <w:rPr>
                <w:rFonts w:hint="eastAsia"/>
                <w:sz w:val="21"/>
                <w:szCs w:val="21"/>
              </w:rPr>
              <w:t>0</w:t>
            </w:r>
          </w:p>
        </w:tc>
      </w:tr>
      <w:tr w:rsidR="00FA7D13">
        <w:trPr>
          <w:trHeight w:val="340"/>
          <w:jc w:val="center"/>
        </w:trPr>
        <w:tc>
          <w:tcPr>
            <w:tcW w:w="842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第二十条第（五）项</w:t>
            </w:r>
          </w:p>
        </w:tc>
      </w:tr>
      <w:tr w:rsidR="00FA7D13">
        <w:trPr>
          <w:trHeight w:val="340"/>
          <w:jc w:val="center"/>
        </w:trPr>
        <w:tc>
          <w:tcPr>
            <w:tcW w:w="2105" w:type="dxa"/>
            <w:tcBorders>
              <w:top w:val="nil"/>
              <w:left w:val="single" w:sz="8" w:space="0" w:color="auto"/>
              <w:bottom w:val="single" w:sz="8" w:space="0" w:color="auto"/>
              <w:right w:val="single" w:sz="4"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信息内容</w:t>
            </w:r>
          </w:p>
        </w:tc>
        <w:tc>
          <w:tcPr>
            <w:tcW w:w="631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本年处理决定数量</w:t>
            </w:r>
          </w:p>
        </w:tc>
      </w:tr>
      <w:tr w:rsidR="00FA7D13">
        <w:trPr>
          <w:trHeight w:val="340"/>
          <w:jc w:val="center"/>
        </w:trPr>
        <w:tc>
          <w:tcPr>
            <w:tcW w:w="2105" w:type="dxa"/>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tcPr>
          <w:p w:rsidR="00FA7D13" w:rsidRDefault="0002514A">
            <w:pPr>
              <w:widowControl/>
              <w:spacing w:line="30" w:lineRule="atLeast"/>
              <w:jc w:val="left"/>
              <w:rPr>
                <w:sz w:val="21"/>
                <w:szCs w:val="21"/>
              </w:rPr>
            </w:pPr>
            <w:r>
              <w:rPr>
                <w:rFonts w:ascii="宋体" w:eastAsia="宋体" w:hAnsi="宋体" w:cs="宋体" w:hint="eastAsia"/>
                <w:color w:val="000000"/>
                <w:kern w:val="0"/>
                <w:sz w:val="21"/>
                <w:szCs w:val="21"/>
                <w:lang w:bidi="ar"/>
              </w:rPr>
              <w:t>行政许可</w:t>
            </w:r>
          </w:p>
        </w:tc>
        <w:tc>
          <w:tcPr>
            <w:tcW w:w="631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Calibri" w:eastAsia="宋体" w:hAnsi="Calibri" w:cs="Calibri" w:hint="eastAsia"/>
                <w:color w:val="333333"/>
                <w:sz w:val="21"/>
                <w:szCs w:val="21"/>
                <w:lang w:bidi="ar"/>
              </w:rPr>
              <w:t>0</w:t>
            </w:r>
          </w:p>
        </w:tc>
      </w:tr>
      <w:tr w:rsidR="00FA7D13">
        <w:trPr>
          <w:trHeight w:val="340"/>
          <w:jc w:val="center"/>
        </w:trPr>
        <w:tc>
          <w:tcPr>
            <w:tcW w:w="842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第二十条第（六）项</w:t>
            </w:r>
          </w:p>
        </w:tc>
      </w:tr>
      <w:tr w:rsidR="00FA7D13">
        <w:trPr>
          <w:trHeight w:val="340"/>
          <w:jc w:val="center"/>
        </w:trPr>
        <w:tc>
          <w:tcPr>
            <w:tcW w:w="210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信息内容</w:t>
            </w:r>
          </w:p>
        </w:tc>
        <w:tc>
          <w:tcPr>
            <w:tcW w:w="631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本年处理决定数量</w:t>
            </w:r>
          </w:p>
        </w:tc>
      </w:tr>
      <w:tr w:rsidR="00FA7D13">
        <w:trPr>
          <w:trHeight w:val="340"/>
          <w:jc w:val="center"/>
        </w:trPr>
        <w:tc>
          <w:tcPr>
            <w:tcW w:w="210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left"/>
              <w:rPr>
                <w:sz w:val="21"/>
                <w:szCs w:val="21"/>
              </w:rPr>
            </w:pPr>
            <w:r>
              <w:rPr>
                <w:rFonts w:ascii="宋体" w:eastAsia="宋体" w:hAnsi="宋体" w:cs="宋体" w:hint="eastAsia"/>
                <w:color w:val="000000"/>
                <w:kern w:val="0"/>
                <w:sz w:val="21"/>
                <w:szCs w:val="21"/>
                <w:lang w:bidi="ar"/>
              </w:rPr>
              <w:t>行政处罚</w:t>
            </w:r>
          </w:p>
        </w:tc>
        <w:tc>
          <w:tcPr>
            <w:tcW w:w="631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color w:val="000000"/>
                <w:kern w:val="0"/>
                <w:sz w:val="21"/>
                <w:szCs w:val="21"/>
                <w:lang w:bidi="ar"/>
              </w:rPr>
              <w:t>315</w:t>
            </w:r>
          </w:p>
        </w:tc>
      </w:tr>
      <w:tr w:rsidR="00FA7D13">
        <w:trPr>
          <w:trHeight w:val="340"/>
          <w:jc w:val="center"/>
        </w:trPr>
        <w:tc>
          <w:tcPr>
            <w:tcW w:w="210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left"/>
              <w:rPr>
                <w:sz w:val="21"/>
                <w:szCs w:val="21"/>
              </w:rPr>
            </w:pPr>
            <w:r>
              <w:rPr>
                <w:rFonts w:ascii="宋体" w:eastAsia="宋体" w:hAnsi="宋体" w:cs="宋体" w:hint="eastAsia"/>
                <w:color w:val="000000"/>
                <w:kern w:val="0"/>
                <w:sz w:val="21"/>
                <w:szCs w:val="21"/>
                <w:lang w:bidi="ar"/>
              </w:rPr>
              <w:t>行政强制</w:t>
            </w:r>
          </w:p>
        </w:tc>
        <w:tc>
          <w:tcPr>
            <w:tcW w:w="631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hint="eastAsia"/>
                <w:sz w:val="21"/>
                <w:szCs w:val="21"/>
              </w:rPr>
              <w:t>0</w:t>
            </w:r>
          </w:p>
        </w:tc>
      </w:tr>
      <w:tr w:rsidR="00FA7D13">
        <w:trPr>
          <w:trHeight w:val="340"/>
          <w:jc w:val="center"/>
        </w:trPr>
        <w:tc>
          <w:tcPr>
            <w:tcW w:w="842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第二十条第（八）项</w:t>
            </w:r>
          </w:p>
        </w:tc>
      </w:tr>
      <w:tr w:rsidR="00FA7D13">
        <w:trPr>
          <w:trHeight w:val="340"/>
          <w:jc w:val="center"/>
        </w:trPr>
        <w:tc>
          <w:tcPr>
            <w:tcW w:w="210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信息内容</w:t>
            </w:r>
          </w:p>
        </w:tc>
        <w:tc>
          <w:tcPr>
            <w:tcW w:w="631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FA7D13" w:rsidRDefault="0002514A">
            <w:pPr>
              <w:widowControl/>
              <w:spacing w:line="30" w:lineRule="atLeast"/>
              <w:jc w:val="center"/>
              <w:rPr>
                <w:sz w:val="21"/>
                <w:szCs w:val="21"/>
              </w:rPr>
            </w:pPr>
            <w:r>
              <w:rPr>
                <w:rFonts w:ascii="宋体" w:eastAsia="宋体" w:hAnsi="宋体" w:cs="宋体" w:hint="eastAsia"/>
                <w:color w:val="000000"/>
                <w:kern w:val="0"/>
                <w:sz w:val="21"/>
                <w:szCs w:val="21"/>
                <w:lang w:bidi="ar"/>
              </w:rPr>
              <w:t>本年收费金额（单位：万元）</w:t>
            </w:r>
          </w:p>
        </w:tc>
      </w:tr>
      <w:tr w:rsidR="00FA7D13">
        <w:trPr>
          <w:trHeight w:val="340"/>
          <w:jc w:val="center"/>
        </w:trPr>
        <w:tc>
          <w:tcPr>
            <w:tcW w:w="210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A7D13" w:rsidRDefault="0002514A">
            <w:pPr>
              <w:widowControl/>
              <w:spacing w:line="30" w:lineRule="atLeast"/>
              <w:jc w:val="left"/>
              <w:rPr>
                <w:sz w:val="21"/>
                <w:szCs w:val="21"/>
              </w:rPr>
            </w:pPr>
            <w:r>
              <w:rPr>
                <w:rFonts w:ascii="宋体" w:eastAsia="宋体" w:hAnsi="宋体" w:cs="宋体" w:hint="eastAsia"/>
                <w:color w:val="000000"/>
                <w:kern w:val="0"/>
                <w:sz w:val="21"/>
                <w:szCs w:val="21"/>
                <w:lang w:bidi="ar"/>
              </w:rPr>
              <w:t>行政事业性收费</w:t>
            </w:r>
          </w:p>
        </w:tc>
        <w:tc>
          <w:tcPr>
            <w:tcW w:w="631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FA7D13" w:rsidRDefault="0002514A">
            <w:pPr>
              <w:jc w:val="center"/>
              <w:rPr>
                <w:rFonts w:ascii="宋体" w:eastAsia="宋体" w:hAnsi="宋体" w:cs="宋体"/>
                <w:color w:val="333333"/>
                <w:sz w:val="21"/>
                <w:szCs w:val="21"/>
              </w:rPr>
            </w:pPr>
            <w:r>
              <w:rPr>
                <w:rFonts w:ascii="宋体" w:eastAsia="宋体" w:hAnsi="宋体" w:cs="宋体" w:hint="eastAsia"/>
                <w:color w:val="333333"/>
                <w:sz w:val="21"/>
                <w:szCs w:val="21"/>
              </w:rPr>
              <w:t>0</w:t>
            </w:r>
          </w:p>
        </w:tc>
      </w:tr>
    </w:tbl>
    <w:p w:rsidR="00FA7D13" w:rsidRDefault="00FA7D13">
      <w:pPr>
        <w:spacing w:line="560" w:lineRule="exact"/>
        <w:rPr>
          <w:rFonts w:ascii="黑体" w:eastAsia="黑体" w:hAnsi="黑体" w:cs="黑体"/>
          <w:szCs w:val="32"/>
        </w:rPr>
      </w:pPr>
    </w:p>
    <w:p w:rsidR="00FA7D13" w:rsidRDefault="0002514A">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三、收到和处理政府信息公开申请情况</w:t>
      </w:r>
    </w:p>
    <w:p w:rsidR="00FA7D13" w:rsidRDefault="0002514A">
      <w:pPr>
        <w:adjustRightInd w:val="0"/>
        <w:snapToGrid w:val="0"/>
        <w:spacing w:line="560" w:lineRule="exact"/>
        <w:ind w:firstLineChars="200" w:firstLine="640"/>
        <w:rPr>
          <w:rFonts w:ascii="仿宋" w:hAnsi="仿宋"/>
        </w:rPr>
      </w:pPr>
      <w:r>
        <w:rPr>
          <w:rFonts w:ascii="仿宋" w:hAnsi="仿宋" w:hint="eastAsia"/>
        </w:rPr>
        <w:t>2022</w:t>
      </w:r>
      <w:r>
        <w:rPr>
          <w:rFonts w:ascii="仿宋" w:hAnsi="仿宋" w:hint="eastAsia"/>
        </w:rPr>
        <w:t>年度</w:t>
      </w:r>
      <w:r>
        <w:rPr>
          <w:rFonts w:ascii="仿宋" w:hAnsi="仿宋" w:hint="eastAsia"/>
        </w:rPr>
        <w:t>,</w:t>
      </w:r>
      <w:r>
        <w:rPr>
          <w:rFonts w:ascii="仿宋" w:hAnsi="仿宋" w:cs="宋体" w:hint="eastAsia"/>
        </w:rPr>
        <w:t>硚</w:t>
      </w:r>
      <w:r>
        <w:rPr>
          <w:rFonts w:ascii="仿宋" w:hAnsi="仿宋" w:cs="仿宋_GB2312" w:hint="eastAsia"/>
        </w:rPr>
        <w:t>口区汉中街道办事处未收到和处理政府信息公开申请</w:t>
      </w:r>
      <w:r>
        <w:rPr>
          <w:rFonts w:ascii="仿宋" w:hAnsi="仿宋" w:hint="eastAsia"/>
        </w:rPr>
        <w:t>。</w:t>
      </w:r>
    </w:p>
    <w:p w:rsidR="00FA7D13" w:rsidRDefault="00FA7D13"/>
    <w:tbl>
      <w:tblPr>
        <w:tblW w:w="846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57" w:type="dxa"/>
          <w:right w:w="57" w:type="dxa"/>
        </w:tblCellMar>
        <w:tblLook w:val="04A0" w:firstRow="1" w:lastRow="0" w:firstColumn="1" w:lastColumn="0" w:noHBand="0" w:noVBand="1"/>
      </w:tblPr>
      <w:tblGrid>
        <w:gridCol w:w="653"/>
        <w:gridCol w:w="798"/>
        <w:gridCol w:w="2847"/>
        <w:gridCol w:w="595"/>
        <w:gridCol w:w="595"/>
        <w:gridCol w:w="595"/>
        <w:gridCol w:w="595"/>
        <w:gridCol w:w="595"/>
        <w:gridCol w:w="600"/>
        <w:gridCol w:w="596"/>
      </w:tblGrid>
      <w:tr w:rsidR="00FA7D13">
        <w:trPr>
          <w:jc w:val="center"/>
        </w:trPr>
        <w:tc>
          <w:tcPr>
            <w:tcW w:w="4298" w:type="dxa"/>
            <w:gridSpan w:val="3"/>
            <w:vMerge w:val="restart"/>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FA7D13" w:rsidRDefault="0002514A">
            <w:pPr>
              <w:widowControl/>
              <w:spacing w:line="30" w:lineRule="atLeast"/>
              <w:jc w:val="left"/>
            </w:pPr>
            <w:r>
              <w:rPr>
                <w:rFonts w:ascii="楷体" w:eastAsia="楷体" w:hAnsi="楷体" w:cs="楷体" w:hint="eastAsia"/>
                <w:color w:val="333333"/>
                <w:kern w:val="0"/>
                <w:sz w:val="20"/>
                <w:szCs w:val="20"/>
                <w:lang w:bidi="ar"/>
              </w:rPr>
              <w:t>（本列数据的勾</w:t>
            </w:r>
            <w:proofErr w:type="gramStart"/>
            <w:r>
              <w:rPr>
                <w:rFonts w:ascii="楷体" w:eastAsia="楷体" w:hAnsi="楷体" w:cs="楷体" w:hint="eastAsia"/>
                <w:color w:val="333333"/>
                <w:kern w:val="0"/>
                <w:sz w:val="20"/>
                <w:szCs w:val="20"/>
                <w:lang w:bidi="ar"/>
              </w:rPr>
              <w:t>稽</w:t>
            </w:r>
            <w:proofErr w:type="gramEnd"/>
            <w:r>
              <w:rPr>
                <w:rFonts w:ascii="楷体" w:eastAsia="楷体" w:hAnsi="楷体" w:cs="楷体" w:hint="eastAsia"/>
                <w:color w:val="333333"/>
                <w:kern w:val="0"/>
                <w:sz w:val="20"/>
                <w:szCs w:val="20"/>
                <w:lang w:bidi="ar"/>
              </w:rPr>
              <w:t>关系为：第一项加第二项之和，等于第三项加第四项之和）</w:t>
            </w:r>
          </w:p>
        </w:tc>
        <w:tc>
          <w:tcPr>
            <w:tcW w:w="4171" w:type="dxa"/>
            <w:gridSpan w:val="7"/>
            <w:tcBorders>
              <w:top w:val="single" w:sz="8" w:space="0" w:color="auto"/>
              <w:left w:val="nil"/>
              <w:bottom w:val="single" w:sz="8" w:space="0" w:color="auto"/>
              <w:right w:val="single" w:sz="8" w:space="0" w:color="auto"/>
            </w:tcBorders>
            <w:shd w:val="clear" w:color="auto" w:fill="auto"/>
            <w:vAlign w:val="center"/>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申请人情况</w:t>
            </w:r>
          </w:p>
        </w:tc>
      </w:tr>
      <w:tr w:rsidR="00FA7D13">
        <w:trPr>
          <w:jc w:val="center"/>
        </w:trPr>
        <w:tc>
          <w:tcPr>
            <w:tcW w:w="4298" w:type="dxa"/>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FA7D13" w:rsidRDefault="00FA7D13">
            <w:pPr>
              <w:jc w:val="left"/>
              <w:rPr>
                <w:rFonts w:ascii="宋体" w:eastAsia="宋体" w:hAnsi="宋体" w:cs="宋体"/>
                <w:color w:val="333333"/>
                <w:sz w:val="21"/>
                <w:szCs w:val="21"/>
              </w:rPr>
            </w:pPr>
          </w:p>
        </w:tc>
        <w:tc>
          <w:tcPr>
            <w:tcW w:w="595" w:type="dxa"/>
            <w:vMerge w:val="restart"/>
            <w:tcBorders>
              <w:top w:val="nil"/>
              <w:left w:val="nil"/>
              <w:bottom w:val="single" w:sz="8" w:space="0" w:color="auto"/>
              <w:right w:val="single" w:sz="8" w:space="0" w:color="auto"/>
            </w:tcBorders>
            <w:shd w:val="clear" w:color="auto" w:fill="auto"/>
            <w:vAlign w:val="center"/>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自然人</w:t>
            </w:r>
          </w:p>
        </w:tc>
        <w:tc>
          <w:tcPr>
            <w:tcW w:w="2980" w:type="dxa"/>
            <w:gridSpan w:val="5"/>
            <w:tcBorders>
              <w:top w:val="single" w:sz="8" w:space="0" w:color="auto"/>
              <w:left w:val="nil"/>
              <w:bottom w:val="single" w:sz="8" w:space="0" w:color="auto"/>
              <w:right w:val="single" w:sz="8" w:space="0" w:color="auto"/>
            </w:tcBorders>
            <w:shd w:val="clear" w:color="auto" w:fill="auto"/>
            <w:vAlign w:val="center"/>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法人或其他组织</w:t>
            </w:r>
          </w:p>
        </w:tc>
        <w:tc>
          <w:tcPr>
            <w:tcW w:w="596" w:type="dxa"/>
            <w:vMerge w:val="restart"/>
            <w:tcBorders>
              <w:top w:val="single" w:sz="8" w:space="0" w:color="auto"/>
              <w:left w:val="nil"/>
              <w:bottom w:val="outset" w:sz="6" w:space="0" w:color="auto"/>
              <w:right w:val="single" w:sz="8" w:space="0" w:color="auto"/>
            </w:tcBorders>
            <w:shd w:val="clear" w:color="auto" w:fill="auto"/>
            <w:vAlign w:val="center"/>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总计</w:t>
            </w:r>
          </w:p>
        </w:tc>
      </w:tr>
      <w:tr w:rsidR="00FA7D13">
        <w:trPr>
          <w:trHeight w:val="828"/>
          <w:jc w:val="center"/>
        </w:trPr>
        <w:tc>
          <w:tcPr>
            <w:tcW w:w="4298" w:type="dxa"/>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FA7D13" w:rsidRDefault="00FA7D13">
            <w:pPr>
              <w:jc w:val="left"/>
              <w:rPr>
                <w:rFonts w:ascii="宋体" w:eastAsia="宋体" w:hAnsi="宋体" w:cs="宋体"/>
                <w:color w:val="333333"/>
                <w:sz w:val="21"/>
                <w:szCs w:val="21"/>
              </w:rPr>
            </w:pPr>
          </w:p>
        </w:tc>
        <w:tc>
          <w:tcPr>
            <w:tcW w:w="595" w:type="dxa"/>
            <w:vMerge/>
            <w:tcBorders>
              <w:top w:val="nil"/>
              <w:left w:val="nil"/>
              <w:bottom w:val="single" w:sz="8" w:space="0" w:color="auto"/>
              <w:right w:val="single" w:sz="8" w:space="0" w:color="auto"/>
            </w:tcBorders>
            <w:shd w:val="clear" w:color="auto" w:fill="auto"/>
            <w:vAlign w:val="center"/>
          </w:tcPr>
          <w:p w:rsidR="00FA7D13" w:rsidRDefault="00FA7D13">
            <w:pPr>
              <w:jc w:val="left"/>
              <w:rPr>
                <w:rFonts w:ascii="宋体" w:eastAsia="宋体" w:hAnsi="宋体" w:cs="宋体"/>
                <w:color w:val="333333"/>
                <w:sz w:val="21"/>
                <w:szCs w:val="21"/>
              </w:rPr>
            </w:pPr>
          </w:p>
        </w:tc>
        <w:tc>
          <w:tcPr>
            <w:tcW w:w="595" w:type="dxa"/>
            <w:tcBorders>
              <w:top w:val="nil"/>
              <w:left w:val="nil"/>
              <w:bottom w:val="single" w:sz="8" w:space="0" w:color="auto"/>
              <w:right w:val="single" w:sz="8" w:space="0" w:color="auto"/>
            </w:tcBorders>
            <w:shd w:val="clear" w:color="auto" w:fill="auto"/>
            <w:vAlign w:val="center"/>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商业</w:t>
            </w:r>
          </w:p>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企业</w:t>
            </w:r>
          </w:p>
        </w:tc>
        <w:tc>
          <w:tcPr>
            <w:tcW w:w="595" w:type="dxa"/>
            <w:tcBorders>
              <w:top w:val="nil"/>
              <w:left w:val="nil"/>
              <w:bottom w:val="single" w:sz="8" w:space="0" w:color="auto"/>
              <w:right w:val="single" w:sz="8" w:space="0" w:color="auto"/>
            </w:tcBorders>
            <w:shd w:val="clear" w:color="auto" w:fill="auto"/>
            <w:vAlign w:val="center"/>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科研</w:t>
            </w:r>
          </w:p>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机构</w:t>
            </w:r>
          </w:p>
        </w:tc>
        <w:tc>
          <w:tcPr>
            <w:tcW w:w="595" w:type="dxa"/>
            <w:tcBorders>
              <w:top w:val="single" w:sz="8" w:space="0" w:color="auto"/>
              <w:left w:val="nil"/>
              <w:bottom w:val="single" w:sz="8" w:space="0" w:color="auto"/>
              <w:right w:val="single" w:sz="8" w:space="0" w:color="auto"/>
            </w:tcBorders>
            <w:shd w:val="clear" w:color="auto" w:fill="auto"/>
            <w:vAlign w:val="center"/>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社会公益组织</w:t>
            </w:r>
          </w:p>
        </w:tc>
        <w:tc>
          <w:tcPr>
            <w:tcW w:w="595" w:type="dxa"/>
            <w:tcBorders>
              <w:top w:val="single" w:sz="8" w:space="0" w:color="auto"/>
              <w:left w:val="nil"/>
              <w:bottom w:val="single" w:sz="8" w:space="0" w:color="auto"/>
              <w:right w:val="single" w:sz="8" w:space="0" w:color="auto"/>
            </w:tcBorders>
            <w:shd w:val="clear" w:color="auto" w:fill="auto"/>
            <w:vAlign w:val="center"/>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法律服务机构</w:t>
            </w:r>
          </w:p>
        </w:tc>
        <w:tc>
          <w:tcPr>
            <w:tcW w:w="600" w:type="dxa"/>
            <w:tcBorders>
              <w:top w:val="single" w:sz="8" w:space="0" w:color="auto"/>
              <w:left w:val="nil"/>
              <w:bottom w:val="single" w:sz="8" w:space="0" w:color="auto"/>
              <w:right w:val="single" w:sz="8" w:space="0" w:color="auto"/>
            </w:tcBorders>
            <w:shd w:val="clear" w:color="auto" w:fill="auto"/>
            <w:vAlign w:val="center"/>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其他</w:t>
            </w:r>
          </w:p>
        </w:tc>
        <w:tc>
          <w:tcPr>
            <w:tcW w:w="596" w:type="dxa"/>
            <w:vMerge/>
            <w:tcBorders>
              <w:top w:val="single" w:sz="8" w:space="0" w:color="auto"/>
              <w:left w:val="nil"/>
              <w:bottom w:val="outset" w:sz="6" w:space="0" w:color="auto"/>
              <w:right w:val="single" w:sz="8" w:space="0" w:color="auto"/>
            </w:tcBorders>
            <w:shd w:val="clear" w:color="auto" w:fill="auto"/>
            <w:vAlign w:val="center"/>
          </w:tcPr>
          <w:p w:rsidR="00FA7D13" w:rsidRDefault="00FA7D13">
            <w:pPr>
              <w:jc w:val="left"/>
              <w:rPr>
                <w:rFonts w:ascii="宋体" w:eastAsia="宋体" w:hAnsi="宋体" w:cs="宋体"/>
                <w:color w:val="333333"/>
                <w:sz w:val="21"/>
                <w:szCs w:val="21"/>
              </w:rPr>
            </w:pPr>
          </w:p>
        </w:tc>
      </w:tr>
      <w:tr w:rsidR="00FA7D13">
        <w:trPr>
          <w:jc w:val="center"/>
        </w:trPr>
        <w:tc>
          <w:tcPr>
            <w:tcW w:w="4298" w:type="dxa"/>
            <w:gridSpan w:val="3"/>
            <w:tcBorders>
              <w:top w:val="nil"/>
              <w:left w:val="single" w:sz="8" w:space="0" w:color="auto"/>
              <w:bottom w:val="single" w:sz="8"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一、本年新收政府信息公开申请数量</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4298" w:type="dxa"/>
            <w:gridSpan w:val="3"/>
            <w:tcBorders>
              <w:top w:val="nil"/>
              <w:left w:val="single" w:sz="8" w:space="0" w:color="auto"/>
              <w:bottom w:val="single" w:sz="8"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二、上年结转政府信息公开申请数量</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val="restart"/>
            <w:tcBorders>
              <w:top w:val="nil"/>
              <w:left w:val="single" w:sz="8" w:space="0" w:color="auto"/>
              <w:bottom w:val="outset" w:sz="6"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三、本年度办理结果</w:t>
            </w:r>
          </w:p>
        </w:tc>
        <w:tc>
          <w:tcPr>
            <w:tcW w:w="3645" w:type="dxa"/>
            <w:gridSpan w:val="2"/>
            <w:tcBorders>
              <w:top w:val="nil"/>
              <w:left w:val="nil"/>
              <w:bottom w:val="single" w:sz="8"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（一）予以公开</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3645" w:type="dxa"/>
            <w:gridSpan w:val="2"/>
            <w:tcBorders>
              <w:top w:val="nil"/>
              <w:left w:val="nil"/>
              <w:bottom w:val="single" w:sz="8"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（二）部分公开（区分处理的，只计这一情形，不计其他情形）</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trHeight w:val="339"/>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val="restart"/>
            <w:tcBorders>
              <w:top w:val="nil"/>
              <w:left w:val="nil"/>
              <w:bottom w:val="outset" w:sz="6"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（三）不予公开</w:t>
            </w: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1.</w:t>
            </w:r>
            <w:r>
              <w:rPr>
                <w:rFonts w:asciiTheme="minorEastAsia" w:eastAsiaTheme="minorEastAsia" w:hAnsiTheme="minorEastAsia" w:cstheme="minorEastAsia" w:hint="eastAsia"/>
                <w:color w:val="333333"/>
                <w:kern w:val="0"/>
                <w:sz w:val="21"/>
                <w:szCs w:val="21"/>
                <w:lang w:bidi="ar"/>
              </w:rPr>
              <w:t>属于国家秘密</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2.</w:t>
            </w:r>
            <w:r>
              <w:rPr>
                <w:rFonts w:asciiTheme="minorEastAsia" w:eastAsiaTheme="minorEastAsia" w:hAnsiTheme="minorEastAsia" w:cstheme="minorEastAsia" w:hint="eastAsia"/>
                <w:color w:val="333333"/>
                <w:kern w:val="0"/>
                <w:sz w:val="21"/>
                <w:szCs w:val="21"/>
                <w:lang w:bidi="ar"/>
              </w:rPr>
              <w:t>其他法律行政法规禁止公开</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3.</w:t>
            </w:r>
            <w:r>
              <w:rPr>
                <w:rFonts w:asciiTheme="minorEastAsia" w:eastAsiaTheme="minorEastAsia" w:hAnsiTheme="minorEastAsia" w:cstheme="minorEastAsia" w:hint="eastAsia"/>
                <w:color w:val="333333"/>
                <w:kern w:val="0"/>
                <w:sz w:val="21"/>
                <w:szCs w:val="21"/>
                <w:lang w:bidi="ar"/>
              </w:rPr>
              <w:t>危及“三安全</w:t>
            </w:r>
            <w:proofErr w:type="gramStart"/>
            <w:r>
              <w:rPr>
                <w:rFonts w:asciiTheme="minorEastAsia" w:eastAsiaTheme="minorEastAsia" w:hAnsiTheme="minorEastAsia" w:cstheme="minorEastAsia" w:hint="eastAsia"/>
                <w:color w:val="333333"/>
                <w:kern w:val="0"/>
                <w:sz w:val="21"/>
                <w:szCs w:val="21"/>
                <w:lang w:bidi="ar"/>
              </w:rPr>
              <w:t>一</w:t>
            </w:r>
            <w:proofErr w:type="gramEnd"/>
            <w:r>
              <w:rPr>
                <w:rFonts w:asciiTheme="minorEastAsia" w:eastAsiaTheme="minorEastAsia" w:hAnsiTheme="minorEastAsia" w:cstheme="minorEastAsia" w:hint="eastAsia"/>
                <w:color w:val="333333"/>
                <w:kern w:val="0"/>
                <w:sz w:val="21"/>
                <w:szCs w:val="21"/>
                <w:lang w:bidi="ar"/>
              </w:rPr>
              <w:t>稳定”</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4.</w:t>
            </w:r>
            <w:r>
              <w:rPr>
                <w:rFonts w:asciiTheme="minorEastAsia" w:eastAsiaTheme="minorEastAsia" w:hAnsiTheme="minorEastAsia" w:cstheme="minorEastAsia" w:hint="eastAsia"/>
                <w:color w:val="333333"/>
                <w:kern w:val="0"/>
                <w:sz w:val="21"/>
                <w:szCs w:val="21"/>
                <w:lang w:bidi="ar"/>
              </w:rPr>
              <w:t>保护第三方合法权益</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5.</w:t>
            </w:r>
            <w:r>
              <w:rPr>
                <w:rFonts w:asciiTheme="minorEastAsia" w:eastAsiaTheme="minorEastAsia" w:hAnsiTheme="minorEastAsia" w:cstheme="minorEastAsia" w:hint="eastAsia"/>
                <w:color w:val="333333"/>
                <w:kern w:val="0"/>
                <w:sz w:val="21"/>
                <w:szCs w:val="21"/>
                <w:lang w:bidi="ar"/>
              </w:rPr>
              <w:t>属于三类内部事务信息</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6.</w:t>
            </w:r>
            <w:r>
              <w:rPr>
                <w:rFonts w:asciiTheme="minorEastAsia" w:eastAsiaTheme="minorEastAsia" w:hAnsiTheme="minorEastAsia" w:cstheme="minorEastAsia" w:hint="eastAsia"/>
                <w:color w:val="333333"/>
                <w:kern w:val="0"/>
                <w:sz w:val="21"/>
                <w:szCs w:val="21"/>
                <w:lang w:bidi="ar"/>
              </w:rPr>
              <w:t>属于四类过程性信息</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7.</w:t>
            </w:r>
            <w:r>
              <w:rPr>
                <w:rFonts w:asciiTheme="minorEastAsia" w:eastAsiaTheme="minorEastAsia" w:hAnsiTheme="minorEastAsia" w:cstheme="minorEastAsia" w:hint="eastAsia"/>
                <w:color w:val="333333"/>
                <w:kern w:val="0"/>
                <w:sz w:val="21"/>
                <w:szCs w:val="21"/>
                <w:lang w:bidi="ar"/>
              </w:rPr>
              <w:t>属于行政执法案卷</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8.</w:t>
            </w:r>
            <w:r>
              <w:rPr>
                <w:rFonts w:asciiTheme="minorEastAsia" w:eastAsiaTheme="minorEastAsia" w:hAnsiTheme="minorEastAsia" w:cstheme="minorEastAsia" w:hint="eastAsia"/>
                <w:color w:val="333333"/>
                <w:kern w:val="0"/>
                <w:sz w:val="21"/>
                <w:szCs w:val="21"/>
                <w:lang w:bidi="ar"/>
              </w:rPr>
              <w:t>属于行政查询事项</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val="restart"/>
            <w:tcBorders>
              <w:top w:val="nil"/>
              <w:left w:val="nil"/>
              <w:bottom w:val="outset" w:sz="6"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（四）无法提供</w:t>
            </w: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1.</w:t>
            </w:r>
            <w:r>
              <w:rPr>
                <w:rFonts w:asciiTheme="minorEastAsia" w:eastAsiaTheme="minorEastAsia" w:hAnsiTheme="minorEastAsia" w:cstheme="minorEastAsia" w:hint="eastAsia"/>
                <w:color w:val="333333"/>
                <w:kern w:val="0"/>
                <w:sz w:val="21"/>
                <w:szCs w:val="21"/>
                <w:lang w:bidi="ar"/>
              </w:rPr>
              <w:t>本机关不掌握相关政府信息</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2.</w:t>
            </w:r>
            <w:r>
              <w:rPr>
                <w:rFonts w:asciiTheme="minorEastAsia" w:eastAsiaTheme="minorEastAsia" w:hAnsiTheme="minorEastAsia" w:cstheme="minorEastAsia" w:hint="eastAsia"/>
                <w:color w:val="333333"/>
                <w:kern w:val="0"/>
                <w:sz w:val="21"/>
                <w:szCs w:val="21"/>
                <w:lang w:bidi="ar"/>
              </w:rPr>
              <w:t>没有现成信息需要另行制作</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3.</w:t>
            </w:r>
            <w:r>
              <w:rPr>
                <w:rFonts w:asciiTheme="minorEastAsia" w:eastAsiaTheme="minorEastAsia" w:hAnsiTheme="minorEastAsia" w:cstheme="minorEastAsia" w:hint="eastAsia"/>
                <w:color w:val="333333"/>
                <w:kern w:val="0"/>
                <w:sz w:val="21"/>
                <w:szCs w:val="21"/>
                <w:lang w:bidi="ar"/>
              </w:rPr>
              <w:t>补正后申请内容仍不明确</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val="restart"/>
            <w:tcBorders>
              <w:top w:val="nil"/>
              <w:left w:val="nil"/>
              <w:bottom w:val="outset" w:sz="6"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（五）</w:t>
            </w:r>
            <w:proofErr w:type="gramStart"/>
            <w:r>
              <w:rPr>
                <w:rFonts w:asciiTheme="minorEastAsia" w:eastAsiaTheme="minorEastAsia" w:hAnsiTheme="minorEastAsia" w:cstheme="minorEastAsia" w:hint="eastAsia"/>
                <w:color w:val="333333"/>
                <w:kern w:val="0"/>
                <w:sz w:val="21"/>
                <w:szCs w:val="21"/>
                <w:lang w:bidi="ar"/>
              </w:rPr>
              <w:t>不予处理</w:t>
            </w:r>
            <w:proofErr w:type="gramEnd"/>
          </w:p>
        </w:tc>
        <w:tc>
          <w:tcPr>
            <w:tcW w:w="2847"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1.</w:t>
            </w:r>
            <w:r>
              <w:rPr>
                <w:rFonts w:asciiTheme="minorEastAsia" w:eastAsiaTheme="minorEastAsia" w:hAnsiTheme="minorEastAsia" w:cstheme="minorEastAsia" w:hint="eastAsia"/>
                <w:color w:val="333333"/>
                <w:kern w:val="0"/>
                <w:sz w:val="21"/>
                <w:szCs w:val="21"/>
                <w:lang w:bidi="ar"/>
              </w:rPr>
              <w:t>信访举报投诉类申请</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2.</w:t>
            </w:r>
            <w:r>
              <w:rPr>
                <w:rFonts w:asciiTheme="minorEastAsia" w:eastAsiaTheme="minorEastAsia" w:hAnsiTheme="minorEastAsia" w:cstheme="minorEastAsia" w:hint="eastAsia"/>
                <w:color w:val="333333"/>
                <w:kern w:val="0"/>
                <w:sz w:val="21"/>
                <w:szCs w:val="21"/>
                <w:lang w:bidi="ar"/>
              </w:rPr>
              <w:t>重复申请</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3.</w:t>
            </w:r>
            <w:r>
              <w:rPr>
                <w:rFonts w:asciiTheme="minorEastAsia" w:eastAsiaTheme="minorEastAsia" w:hAnsiTheme="minorEastAsia" w:cstheme="minorEastAsia" w:hint="eastAsia"/>
                <w:color w:val="333333"/>
                <w:kern w:val="0"/>
                <w:sz w:val="21"/>
                <w:szCs w:val="21"/>
                <w:lang w:bidi="ar"/>
              </w:rPr>
              <w:t>要求提供公开出版物</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4.</w:t>
            </w:r>
            <w:r>
              <w:rPr>
                <w:rFonts w:asciiTheme="minorEastAsia" w:eastAsiaTheme="minorEastAsia" w:hAnsiTheme="minorEastAsia" w:cstheme="minorEastAsia" w:hint="eastAsia"/>
                <w:color w:val="333333"/>
                <w:kern w:val="0"/>
                <w:sz w:val="21"/>
                <w:szCs w:val="21"/>
                <w:lang w:bidi="ar"/>
              </w:rPr>
              <w:t>无正当理由大量反复申请</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single" w:sz="8" w:space="0" w:color="auto"/>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trHeight w:val="779"/>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nil"/>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outset" w:sz="6" w:space="0" w:color="auto"/>
              <w:right w:val="single" w:sz="8" w:space="0" w:color="auto"/>
            </w:tcBorders>
            <w:shd w:val="clear" w:color="auto" w:fill="auto"/>
            <w:vAlign w:val="center"/>
          </w:tcPr>
          <w:p w:rsidR="00FA7D13" w:rsidRDefault="0002514A">
            <w:pPr>
              <w:widowControl/>
              <w:spacing w:line="3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5.</w:t>
            </w:r>
            <w:r>
              <w:rPr>
                <w:rFonts w:asciiTheme="minorEastAsia" w:eastAsiaTheme="minorEastAsia" w:hAnsiTheme="minorEastAsia" w:cstheme="minorEastAsia" w:hint="eastAsia"/>
                <w:color w:val="333333"/>
                <w:kern w:val="0"/>
                <w:sz w:val="21"/>
                <w:szCs w:val="21"/>
                <w:lang w:bidi="ar"/>
              </w:rPr>
              <w:t>要求行政机关确认或重新出具已获取信息</w:t>
            </w:r>
          </w:p>
        </w:tc>
        <w:tc>
          <w:tcPr>
            <w:tcW w:w="595" w:type="dxa"/>
            <w:tcBorders>
              <w:top w:val="nil"/>
              <w:left w:val="nil"/>
              <w:bottom w:val="outset" w:sz="6"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outset" w:sz="6"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outset" w:sz="6"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outset" w:sz="6"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outset" w:sz="6"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outset" w:sz="6"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outset" w:sz="6"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val="restart"/>
            <w:tcBorders>
              <w:top w:val="outset" w:sz="6" w:space="0" w:color="auto"/>
              <w:left w:val="nil"/>
              <w:bottom w:val="outset" w:sz="6"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（六）其他处理</w:t>
            </w:r>
          </w:p>
        </w:tc>
        <w:tc>
          <w:tcPr>
            <w:tcW w:w="2847" w:type="dxa"/>
            <w:tcBorders>
              <w:top w:val="nil"/>
              <w:left w:val="nil"/>
              <w:bottom w:val="single" w:sz="8" w:space="0" w:color="auto"/>
              <w:right w:val="single" w:sz="8" w:space="0" w:color="auto"/>
            </w:tcBorders>
            <w:shd w:val="clear" w:color="auto" w:fill="auto"/>
            <w:vAlign w:val="center"/>
          </w:tcPr>
          <w:p w:rsidR="00FA7D13" w:rsidRDefault="0002514A">
            <w:pPr>
              <w:widowControl/>
              <w:spacing w:line="3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1.</w:t>
            </w:r>
            <w:r>
              <w:rPr>
                <w:rFonts w:asciiTheme="minorEastAsia" w:eastAsiaTheme="minorEastAsia" w:hAnsiTheme="minorEastAsia" w:cstheme="minorEastAsia" w:hint="eastAsia"/>
                <w:color w:val="333333"/>
                <w:kern w:val="0"/>
                <w:sz w:val="21"/>
                <w:szCs w:val="21"/>
                <w:lang w:bidi="ar"/>
              </w:rPr>
              <w:t>申请人无正当理由逾期</w:t>
            </w:r>
            <w:proofErr w:type="gramStart"/>
            <w:r>
              <w:rPr>
                <w:rFonts w:asciiTheme="minorEastAsia" w:eastAsiaTheme="minorEastAsia" w:hAnsiTheme="minorEastAsia" w:cstheme="minorEastAsia" w:hint="eastAsia"/>
                <w:color w:val="333333"/>
                <w:kern w:val="0"/>
                <w:sz w:val="21"/>
                <w:szCs w:val="21"/>
                <w:lang w:bidi="ar"/>
              </w:rPr>
              <w:t>不</w:t>
            </w:r>
            <w:proofErr w:type="gramEnd"/>
            <w:r>
              <w:rPr>
                <w:rFonts w:asciiTheme="minorEastAsia" w:eastAsiaTheme="minorEastAsia" w:hAnsiTheme="minorEastAsia" w:cstheme="minorEastAsia" w:hint="eastAsia"/>
                <w:color w:val="333333"/>
                <w:kern w:val="0"/>
                <w:sz w:val="21"/>
                <w:szCs w:val="21"/>
                <w:lang w:bidi="ar"/>
              </w:rPr>
              <w:t>补正、行政机关</w:t>
            </w:r>
            <w:proofErr w:type="gramStart"/>
            <w:r>
              <w:rPr>
                <w:rFonts w:asciiTheme="minorEastAsia" w:eastAsiaTheme="minorEastAsia" w:hAnsiTheme="minorEastAsia" w:cstheme="minorEastAsia" w:hint="eastAsia"/>
                <w:color w:val="333333"/>
                <w:kern w:val="0"/>
                <w:sz w:val="21"/>
                <w:szCs w:val="21"/>
                <w:lang w:bidi="ar"/>
              </w:rPr>
              <w:t>不</w:t>
            </w:r>
            <w:proofErr w:type="gramEnd"/>
            <w:r>
              <w:rPr>
                <w:rFonts w:asciiTheme="minorEastAsia" w:eastAsiaTheme="minorEastAsia" w:hAnsiTheme="minorEastAsia" w:cstheme="minorEastAsia" w:hint="eastAsia"/>
                <w:color w:val="333333"/>
                <w:kern w:val="0"/>
                <w:sz w:val="21"/>
                <w:szCs w:val="21"/>
                <w:lang w:bidi="ar"/>
              </w:rPr>
              <w:t>再处理其政府信息公开申请</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outset" w:sz="6" w:space="0" w:color="auto"/>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vAlign w:val="center"/>
          </w:tcPr>
          <w:p w:rsidR="00FA7D13" w:rsidRDefault="0002514A">
            <w:pPr>
              <w:widowControl/>
              <w:spacing w:line="3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2.</w:t>
            </w:r>
            <w:r>
              <w:rPr>
                <w:rFonts w:asciiTheme="minorEastAsia" w:eastAsiaTheme="minorEastAsia" w:hAnsiTheme="minorEastAsia" w:cstheme="minorEastAsia" w:hint="eastAsia"/>
                <w:color w:val="333333"/>
                <w:kern w:val="0"/>
                <w:sz w:val="21"/>
                <w:szCs w:val="21"/>
                <w:lang w:bidi="ar"/>
              </w:rPr>
              <w:t>申请人逾期未按收费通知要求缴纳费用、行政机关</w:t>
            </w:r>
            <w:proofErr w:type="gramStart"/>
            <w:r>
              <w:rPr>
                <w:rFonts w:asciiTheme="minorEastAsia" w:eastAsiaTheme="minorEastAsia" w:hAnsiTheme="minorEastAsia" w:cstheme="minorEastAsia" w:hint="eastAsia"/>
                <w:color w:val="333333"/>
                <w:kern w:val="0"/>
                <w:sz w:val="21"/>
                <w:szCs w:val="21"/>
                <w:lang w:bidi="ar"/>
              </w:rPr>
              <w:t>不</w:t>
            </w:r>
            <w:proofErr w:type="gramEnd"/>
            <w:r>
              <w:rPr>
                <w:rFonts w:asciiTheme="minorEastAsia" w:eastAsiaTheme="minorEastAsia" w:hAnsiTheme="minorEastAsia" w:cstheme="minorEastAsia" w:hint="eastAsia"/>
                <w:color w:val="333333"/>
                <w:kern w:val="0"/>
                <w:sz w:val="21"/>
                <w:szCs w:val="21"/>
                <w:lang w:bidi="ar"/>
              </w:rPr>
              <w:t>再处理其政府信息公开申请</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798" w:type="dxa"/>
            <w:vMerge/>
            <w:tcBorders>
              <w:top w:val="outset" w:sz="6" w:space="0" w:color="auto"/>
              <w:left w:val="nil"/>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2847" w:type="dxa"/>
            <w:tcBorders>
              <w:top w:val="nil"/>
              <w:left w:val="nil"/>
              <w:bottom w:val="single" w:sz="8"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3.</w:t>
            </w:r>
            <w:r>
              <w:rPr>
                <w:rFonts w:asciiTheme="minorEastAsia" w:eastAsiaTheme="minorEastAsia" w:hAnsiTheme="minorEastAsia" w:cstheme="minorEastAsia" w:hint="eastAsia"/>
                <w:color w:val="333333"/>
                <w:kern w:val="0"/>
                <w:sz w:val="21"/>
                <w:szCs w:val="21"/>
                <w:lang w:bidi="ar"/>
              </w:rPr>
              <w:t>其他</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653" w:type="dxa"/>
            <w:vMerge/>
            <w:tcBorders>
              <w:top w:val="nil"/>
              <w:left w:val="single" w:sz="8" w:space="0" w:color="auto"/>
              <w:bottom w:val="outset" w:sz="6" w:space="0" w:color="auto"/>
              <w:right w:val="single" w:sz="8" w:space="0" w:color="auto"/>
            </w:tcBorders>
            <w:shd w:val="clear" w:color="auto" w:fill="auto"/>
            <w:vAlign w:val="center"/>
          </w:tcPr>
          <w:p w:rsidR="00FA7D13" w:rsidRDefault="00FA7D13">
            <w:pPr>
              <w:jc w:val="left"/>
              <w:rPr>
                <w:rFonts w:asciiTheme="minorEastAsia" w:eastAsiaTheme="minorEastAsia" w:hAnsiTheme="minorEastAsia" w:cstheme="minorEastAsia"/>
                <w:color w:val="333333"/>
                <w:sz w:val="21"/>
                <w:szCs w:val="21"/>
              </w:rPr>
            </w:pPr>
          </w:p>
        </w:tc>
        <w:tc>
          <w:tcPr>
            <w:tcW w:w="3645" w:type="dxa"/>
            <w:gridSpan w:val="2"/>
            <w:tcBorders>
              <w:top w:val="nil"/>
              <w:left w:val="nil"/>
              <w:bottom w:val="single" w:sz="8"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（七）总计</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5"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600"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c>
          <w:tcPr>
            <w:tcW w:w="596" w:type="dxa"/>
            <w:tcBorders>
              <w:top w:val="nil"/>
              <w:left w:val="nil"/>
              <w:bottom w:val="single" w:sz="8" w:space="0" w:color="auto"/>
              <w:right w:val="single" w:sz="8" w:space="0" w:color="auto"/>
            </w:tcBorders>
            <w:shd w:val="clear" w:color="auto" w:fill="auto"/>
          </w:tcPr>
          <w:p w:rsidR="00FA7D13" w:rsidRDefault="0002514A">
            <w:pPr>
              <w:widowControl/>
              <w:spacing w:line="30" w:lineRule="atLeast"/>
              <w:jc w:val="center"/>
              <w:rPr>
                <w:rFonts w:ascii="宋体" w:eastAsia="宋体" w:hAnsi="宋体" w:cs="宋体"/>
                <w:sz w:val="21"/>
                <w:szCs w:val="21"/>
              </w:rPr>
            </w:pPr>
            <w:r>
              <w:rPr>
                <w:rFonts w:ascii="宋体" w:eastAsia="宋体" w:hAnsi="宋体" w:cs="宋体" w:hint="eastAsia"/>
                <w:color w:val="333333"/>
                <w:kern w:val="0"/>
                <w:sz w:val="21"/>
                <w:szCs w:val="21"/>
                <w:lang w:bidi="ar"/>
              </w:rPr>
              <w:t>0</w:t>
            </w:r>
          </w:p>
        </w:tc>
      </w:tr>
      <w:tr w:rsidR="00FA7D13">
        <w:trPr>
          <w:jc w:val="center"/>
        </w:trPr>
        <w:tc>
          <w:tcPr>
            <w:tcW w:w="4298" w:type="dxa"/>
            <w:gridSpan w:val="3"/>
            <w:tcBorders>
              <w:top w:val="nil"/>
              <w:left w:val="single" w:sz="8" w:space="0" w:color="auto"/>
              <w:bottom w:val="single" w:sz="8" w:space="0" w:color="auto"/>
              <w:right w:val="single" w:sz="8" w:space="0" w:color="auto"/>
            </w:tcBorders>
            <w:shd w:val="clear" w:color="auto" w:fill="auto"/>
            <w:vAlign w:val="center"/>
          </w:tcPr>
          <w:p w:rsidR="00FA7D13" w:rsidRDefault="0002514A">
            <w:pPr>
              <w:widowControl/>
              <w:spacing w:line="30" w:lineRule="atLeas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333333"/>
                <w:kern w:val="0"/>
                <w:sz w:val="21"/>
                <w:szCs w:val="21"/>
                <w:lang w:bidi="ar"/>
              </w:rPr>
              <w:t>四、结转下年度继续办理</w:t>
            </w:r>
          </w:p>
        </w:tc>
        <w:tc>
          <w:tcPr>
            <w:tcW w:w="595" w:type="dxa"/>
            <w:tcBorders>
              <w:top w:val="nil"/>
              <w:left w:val="nil"/>
              <w:bottom w:val="single" w:sz="8" w:space="0" w:color="auto"/>
              <w:right w:val="single" w:sz="8" w:space="0" w:color="auto"/>
            </w:tcBorders>
            <w:shd w:val="clear" w:color="auto" w:fill="auto"/>
          </w:tcPr>
          <w:p w:rsidR="00FA7D13" w:rsidRDefault="0002514A">
            <w:pPr>
              <w:jc w:val="center"/>
              <w:rPr>
                <w:rFonts w:ascii="宋体" w:eastAsia="宋体" w:hAnsi="宋体" w:cs="宋体"/>
                <w:sz w:val="21"/>
                <w:szCs w:val="21"/>
              </w:rPr>
            </w:pPr>
            <w:r>
              <w:rPr>
                <w:rFonts w:ascii="宋体" w:eastAsia="宋体" w:hAnsi="宋体" w:cs="宋体" w:hint="eastAsia"/>
                <w:color w:val="333333"/>
                <w:sz w:val="21"/>
                <w:szCs w:val="21"/>
              </w:rPr>
              <w:t>0</w:t>
            </w:r>
          </w:p>
        </w:tc>
        <w:tc>
          <w:tcPr>
            <w:tcW w:w="595" w:type="dxa"/>
            <w:tcBorders>
              <w:top w:val="nil"/>
              <w:left w:val="nil"/>
              <w:bottom w:val="single" w:sz="8" w:space="0" w:color="auto"/>
              <w:right w:val="single" w:sz="8" w:space="0" w:color="auto"/>
            </w:tcBorders>
            <w:shd w:val="clear" w:color="auto" w:fill="auto"/>
          </w:tcPr>
          <w:p w:rsidR="00FA7D13" w:rsidRDefault="0002514A">
            <w:pPr>
              <w:jc w:val="center"/>
              <w:rPr>
                <w:rFonts w:ascii="宋体" w:eastAsia="宋体" w:hAnsi="宋体" w:cs="宋体"/>
                <w:sz w:val="21"/>
                <w:szCs w:val="21"/>
              </w:rPr>
            </w:pPr>
            <w:r>
              <w:rPr>
                <w:rFonts w:ascii="宋体" w:eastAsia="宋体" w:hAnsi="宋体" w:cs="宋体" w:hint="eastAsia"/>
                <w:color w:val="333333"/>
                <w:sz w:val="21"/>
                <w:szCs w:val="21"/>
              </w:rPr>
              <w:t>0</w:t>
            </w:r>
          </w:p>
        </w:tc>
        <w:tc>
          <w:tcPr>
            <w:tcW w:w="595" w:type="dxa"/>
            <w:tcBorders>
              <w:top w:val="nil"/>
              <w:left w:val="nil"/>
              <w:bottom w:val="single" w:sz="8" w:space="0" w:color="auto"/>
              <w:right w:val="single" w:sz="8" w:space="0" w:color="auto"/>
            </w:tcBorders>
            <w:shd w:val="clear" w:color="auto" w:fill="auto"/>
          </w:tcPr>
          <w:p w:rsidR="00FA7D13" w:rsidRDefault="0002514A">
            <w:pPr>
              <w:jc w:val="center"/>
              <w:rPr>
                <w:rFonts w:ascii="宋体" w:eastAsia="宋体" w:hAnsi="宋体" w:cs="宋体"/>
                <w:sz w:val="21"/>
                <w:szCs w:val="21"/>
              </w:rPr>
            </w:pPr>
            <w:r>
              <w:rPr>
                <w:rFonts w:ascii="宋体" w:eastAsia="宋体" w:hAnsi="宋体" w:cs="宋体" w:hint="eastAsia"/>
                <w:color w:val="333333"/>
                <w:sz w:val="21"/>
                <w:szCs w:val="21"/>
              </w:rPr>
              <w:t>0</w:t>
            </w:r>
          </w:p>
        </w:tc>
        <w:tc>
          <w:tcPr>
            <w:tcW w:w="595" w:type="dxa"/>
            <w:tcBorders>
              <w:top w:val="nil"/>
              <w:left w:val="nil"/>
              <w:bottom w:val="single" w:sz="8" w:space="0" w:color="auto"/>
              <w:right w:val="single" w:sz="8" w:space="0" w:color="auto"/>
            </w:tcBorders>
            <w:shd w:val="clear" w:color="auto" w:fill="auto"/>
          </w:tcPr>
          <w:p w:rsidR="00FA7D13" w:rsidRDefault="0002514A">
            <w:pPr>
              <w:jc w:val="center"/>
              <w:rPr>
                <w:rFonts w:ascii="宋体" w:eastAsia="宋体" w:hAnsi="宋体" w:cs="宋体"/>
                <w:sz w:val="21"/>
                <w:szCs w:val="21"/>
              </w:rPr>
            </w:pPr>
            <w:r>
              <w:rPr>
                <w:rFonts w:ascii="宋体" w:eastAsia="宋体" w:hAnsi="宋体" w:cs="宋体" w:hint="eastAsia"/>
                <w:color w:val="333333"/>
                <w:sz w:val="21"/>
                <w:szCs w:val="21"/>
              </w:rPr>
              <w:t>0</w:t>
            </w:r>
          </w:p>
        </w:tc>
        <w:tc>
          <w:tcPr>
            <w:tcW w:w="595" w:type="dxa"/>
            <w:tcBorders>
              <w:top w:val="nil"/>
              <w:left w:val="nil"/>
              <w:bottom w:val="single" w:sz="8" w:space="0" w:color="auto"/>
              <w:right w:val="single" w:sz="8" w:space="0" w:color="auto"/>
            </w:tcBorders>
            <w:shd w:val="clear" w:color="auto" w:fill="auto"/>
          </w:tcPr>
          <w:p w:rsidR="00FA7D13" w:rsidRDefault="0002514A">
            <w:pPr>
              <w:jc w:val="center"/>
              <w:rPr>
                <w:rFonts w:ascii="宋体" w:eastAsia="宋体" w:hAnsi="宋体" w:cs="宋体"/>
                <w:sz w:val="21"/>
                <w:szCs w:val="21"/>
              </w:rPr>
            </w:pPr>
            <w:r>
              <w:rPr>
                <w:rFonts w:ascii="宋体" w:eastAsia="宋体" w:hAnsi="宋体" w:cs="宋体" w:hint="eastAsia"/>
                <w:color w:val="333333"/>
                <w:sz w:val="21"/>
                <w:szCs w:val="21"/>
              </w:rPr>
              <w:t>0</w:t>
            </w:r>
          </w:p>
        </w:tc>
        <w:tc>
          <w:tcPr>
            <w:tcW w:w="600" w:type="dxa"/>
            <w:tcBorders>
              <w:top w:val="nil"/>
              <w:left w:val="nil"/>
              <w:bottom w:val="single" w:sz="8" w:space="0" w:color="auto"/>
              <w:right w:val="single" w:sz="8" w:space="0" w:color="auto"/>
            </w:tcBorders>
            <w:shd w:val="clear" w:color="auto" w:fill="auto"/>
          </w:tcPr>
          <w:p w:rsidR="00FA7D13" w:rsidRDefault="0002514A">
            <w:pPr>
              <w:jc w:val="center"/>
              <w:rPr>
                <w:rFonts w:ascii="宋体" w:eastAsia="宋体" w:hAnsi="宋体" w:cs="宋体"/>
                <w:sz w:val="21"/>
                <w:szCs w:val="21"/>
              </w:rPr>
            </w:pPr>
            <w:r>
              <w:rPr>
                <w:rFonts w:ascii="宋体" w:eastAsia="宋体" w:hAnsi="宋体" w:cs="宋体" w:hint="eastAsia"/>
                <w:color w:val="333333"/>
                <w:sz w:val="21"/>
                <w:szCs w:val="21"/>
              </w:rPr>
              <w:t>0</w:t>
            </w:r>
          </w:p>
        </w:tc>
        <w:tc>
          <w:tcPr>
            <w:tcW w:w="596" w:type="dxa"/>
            <w:tcBorders>
              <w:top w:val="nil"/>
              <w:left w:val="nil"/>
              <w:bottom w:val="single" w:sz="8" w:space="0" w:color="auto"/>
              <w:right w:val="single" w:sz="8" w:space="0" w:color="auto"/>
            </w:tcBorders>
            <w:shd w:val="clear" w:color="auto" w:fill="auto"/>
          </w:tcPr>
          <w:p w:rsidR="00FA7D13" w:rsidRDefault="0002514A">
            <w:pPr>
              <w:jc w:val="center"/>
              <w:rPr>
                <w:rFonts w:ascii="宋体" w:eastAsia="宋体" w:hAnsi="宋体" w:cs="宋体"/>
                <w:color w:val="333333"/>
                <w:sz w:val="21"/>
                <w:szCs w:val="21"/>
              </w:rPr>
            </w:pPr>
            <w:r>
              <w:rPr>
                <w:rFonts w:ascii="宋体" w:eastAsia="宋体" w:hAnsi="宋体" w:cs="宋体" w:hint="eastAsia"/>
                <w:color w:val="333333"/>
                <w:sz w:val="21"/>
                <w:szCs w:val="21"/>
              </w:rPr>
              <w:t>0</w:t>
            </w:r>
          </w:p>
        </w:tc>
      </w:tr>
    </w:tbl>
    <w:p w:rsidR="0094319A" w:rsidRDefault="0094319A">
      <w:pPr>
        <w:spacing w:line="560" w:lineRule="exact"/>
        <w:rPr>
          <w:rFonts w:hint="eastAsia"/>
        </w:rPr>
      </w:pPr>
    </w:p>
    <w:p w:rsidR="0094319A" w:rsidRPr="0094319A" w:rsidRDefault="0094319A" w:rsidP="0094319A">
      <w:pPr>
        <w:spacing w:line="560" w:lineRule="exact"/>
        <w:ind w:firstLineChars="200" w:firstLine="640"/>
        <w:rPr>
          <w:rFonts w:ascii="黑体" w:eastAsia="黑体" w:hAnsi="黑体" w:hint="eastAsia"/>
        </w:rPr>
      </w:pPr>
      <w:r w:rsidRPr="0094319A">
        <w:rPr>
          <w:rFonts w:ascii="黑体" w:eastAsia="黑体" w:hAnsi="黑体" w:hint="eastAsia"/>
        </w:rPr>
        <w:t>四、因政府信息公开工作被申请行政复议、提起行政诉讼情况</w:t>
      </w:r>
    </w:p>
    <w:p w:rsidR="00FA7D13" w:rsidRPr="0094319A" w:rsidRDefault="0094319A" w:rsidP="0094319A">
      <w:pPr>
        <w:ind w:firstLineChars="200" w:firstLine="640"/>
        <w:rPr>
          <w:rFonts w:ascii="仿宋" w:hAnsi="仿宋" w:hint="eastAsia"/>
        </w:rPr>
      </w:pPr>
      <w:r w:rsidRPr="0094319A">
        <w:rPr>
          <w:rFonts w:ascii="仿宋" w:hAnsi="仿宋" w:hint="eastAsia"/>
        </w:rPr>
        <w:t>2022年度，硚口区汉中街道办事处无因政府信息公开工作被申请行政复议、提起行政诉讼情况。</w:t>
      </w:r>
    </w:p>
    <w:p w:rsidR="0094319A" w:rsidRPr="0094319A" w:rsidRDefault="0094319A" w:rsidP="0094319A"/>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565"/>
        <w:gridCol w:w="565"/>
        <w:gridCol w:w="565"/>
        <w:gridCol w:w="574"/>
        <w:gridCol w:w="566"/>
        <w:gridCol w:w="566"/>
        <w:gridCol w:w="568"/>
        <w:gridCol w:w="568"/>
        <w:gridCol w:w="573"/>
        <w:gridCol w:w="568"/>
        <w:gridCol w:w="568"/>
        <w:gridCol w:w="568"/>
        <w:gridCol w:w="568"/>
        <w:gridCol w:w="573"/>
      </w:tblGrid>
      <w:tr w:rsidR="00FA7D13">
        <w:trPr>
          <w:jc w:val="center"/>
        </w:trPr>
        <w:tc>
          <w:tcPr>
            <w:tcW w:w="28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行政复议</w:t>
            </w:r>
          </w:p>
        </w:tc>
        <w:tc>
          <w:tcPr>
            <w:tcW w:w="56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行政诉讼</w:t>
            </w:r>
          </w:p>
        </w:tc>
      </w:tr>
      <w:tr w:rsidR="00FA7D13">
        <w:trPr>
          <w:jc w:val="center"/>
        </w:trPr>
        <w:tc>
          <w:tcPr>
            <w:tcW w:w="565" w:type="dxa"/>
            <w:vMerge w:val="restart"/>
            <w:tcBorders>
              <w:top w:val="nil"/>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结果维持</w:t>
            </w:r>
          </w:p>
        </w:tc>
        <w:tc>
          <w:tcPr>
            <w:tcW w:w="565" w:type="dxa"/>
            <w:vMerge w:val="restart"/>
            <w:tcBorders>
              <w:top w:val="nil"/>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纠正</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其他</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结果</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审结</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总计</w:t>
            </w:r>
          </w:p>
        </w:tc>
        <w:tc>
          <w:tcPr>
            <w:tcW w:w="2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未经复议直接起诉</w:t>
            </w:r>
          </w:p>
        </w:tc>
        <w:tc>
          <w:tcPr>
            <w:tcW w:w="28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复议后起诉</w:t>
            </w:r>
          </w:p>
        </w:tc>
      </w:tr>
      <w:tr w:rsidR="00FA7D13">
        <w:trPr>
          <w:jc w:val="center"/>
        </w:trPr>
        <w:tc>
          <w:tcPr>
            <w:tcW w:w="565" w:type="dxa"/>
            <w:vMerge/>
            <w:tcBorders>
              <w:top w:val="nil"/>
              <w:left w:val="single" w:sz="4" w:space="0" w:color="auto"/>
              <w:bottom w:val="single" w:sz="4" w:space="0" w:color="auto"/>
              <w:right w:val="single" w:sz="4" w:space="0" w:color="auto"/>
            </w:tcBorders>
            <w:shd w:val="clear" w:color="auto" w:fill="auto"/>
            <w:vAlign w:val="center"/>
          </w:tcPr>
          <w:p w:rsidR="00FA7D13" w:rsidRDefault="00FA7D13">
            <w:pPr>
              <w:jc w:val="left"/>
              <w:rPr>
                <w:rFonts w:ascii="宋体" w:eastAsia="宋体" w:hAnsi="宋体" w:cs="宋体"/>
                <w:color w:val="333333"/>
                <w:sz w:val="21"/>
                <w:szCs w:val="21"/>
              </w:rPr>
            </w:pPr>
          </w:p>
        </w:tc>
        <w:tc>
          <w:tcPr>
            <w:tcW w:w="565" w:type="dxa"/>
            <w:vMerge/>
            <w:tcBorders>
              <w:top w:val="nil"/>
              <w:left w:val="single" w:sz="4" w:space="0" w:color="auto"/>
              <w:bottom w:val="single" w:sz="4" w:space="0" w:color="auto"/>
              <w:right w:val="single" w:sz="4" w:space="0" w:color="auto"/>
            </w:tcBorders>
            <w:shd w:val="clear" w:color="auto" w:fill="auto"/>
            <w:vAlign w:val="center"/>
          </w:tcPr>
          <w:p w:rsidR="00FA7D13" w:rsidRDefault="00FA7D13">
            <w:pPr>
              <w:jc w:val="left"/>
              <w:rPr>
                <w:rFonts w:ascii="宋体" w:eastAsia="宋体" w:hAnsi="宋体" w:cs="宋体"/>
                <w:color w:val="333333"/>
                <w:sz w:val="21"/>
                <w:szCs w:val="21"/>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FA7D13">
            <w:pPr>
              <w:jc w:val="left"/>
              <w:rPr>
                <w:rFonts w:ascii="宋体" w:eastAsia="宋体" w:hAnsi="宋体" w:cs="宋体"/>
                <w:color w:val="333333"/>
                <w:sz w:val="21"/>
                <w:szCs w:val="21"/>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FA7D13">
            <w:pPr>
              <w:jc w:val="left"/>
              <w:rPr>
                <w:rFonts w:ascii="宋体" w:eastAsia="宋体" w:hAnsi="宋体" w:cs="宋体"/>
                <w:color w:val="333333"/>
                <w:sz w:val="21"/>
                <w:szCs w:val="21"/>
              </w:rPr>
            </w:pPr>
          </w:p>
        </w:tc>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FA7D13">
            <w:pPr>
              <w:jc w:val="left"/>
              <w:rPr>
                <w:rFonts w:ascii="宋体" w:eastAsia="宋体" w:hAnsi="宋体" w:cs="宋体"/>
                <w:color w:val="333333"/>
                <w:sz w:val="21"/>
                <w:szCs w:val="21"/>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维持</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纠正</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其他</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结果</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审结</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000000"/>
                <w:kern w:val="0"/>
                <w:sz w:val="20"/>
                <w:szCs w:val="20"/>
                <w:lang w:bidi="ar"/>
              </w:rPr>
              <w:t>总计</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维持</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纠正</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000000"/>
                <w:kern w:val="0"/>
                <w:sz w:val="20"/>
                <w:szCs w:val="20"/>
                <w:lang w:bidi="ar"/>
              </w:rPr>
              <w:t>其他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结果</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审结</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宋体" w:eastAsia="宋体" w:hAnsi="宋体" w:cs="宋体" w:hint="eastAsia"/>
                <w:color w:val="000000"/>
                <w:kern w:val="0"/>
                <w:sz w:val="20"/>
                <w:szCs w:val="20"/>
                <w:lang w:bidi="ar"/>
              </w:rPr>
              <w:t>总计</w:t>
            </w:r>
          </w:p>
        </w:tc>
      </w:tr>
      <w:tr w:rsidR="00FA7D13">
        <w:trPr>
          <w:trHeight w:val="672"/>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widowControl/>
              <w:spacing w:line="30" w:lineRule="atLeast"/>
              <w:jc w:val="center"/>
            </w:pPr>
            <w:r>
              <w:rPr>
                <w:rFonts w:ascii="黑体" w:eastAsia="黑体" w:hAnsi="宋体" w:cs="黑体" w:hint="eastAsia"/>
                <w:color w:val="333333"/>
                <w:sz w:val="20"/>
                <w:szCs w:val="20"/>
                <w:lang w:bidi="ar"/>
              </w:rPr>
              <w:t>0</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FA7D13" w:rsidRDefault="0002514A">
            <w:pPr>
              <w:jc w:val="center"/>
              <w:rPr>
                <w:rFonts w:ascii="宋体" w:eastAsia="宋体" w:hAnsi="宋体" w:cs="宋体"/>
                <w:color w:val="333333"/>
                <w:sz w:val="21"/>
                <w:szCs w:val="21"/>
              </w:rPr>
            </w:pPr>
            <w:r>
              <w:rPr>
                <w:rFonts w:ascii="宋体" w:eastAsia="宋体" w:hAnsi="宋体" w:cs="宋体" w:hint="eastAsia"/>
                <w:color w:val="333333"/>
                <w:sz w:val="21"/>
                <w:szCs w:val="21"/>
              </w:rPr>
              <w:t>0</w:t>
            </w:r>
          </w:p>
        </w:tc>
      </w:tr>
    </w:tbl>
    <w:p w:rsidR="0094319A" w:rsidRDefault="0094319A">
      <w:pPr>
        <w:adjustRightInd w:val="0"/>
        <w:snapToGrid w:val="0"/>
        <w:spacing w:line="560" w:lineRule="exact"/>
        <w:rPr>
          <w:rFonts w:hint="eastAsia"/>
        </w:rPr>
      </w:pPr>
    </w:p>
    <w:p w:rsidR="00FA7D13" w:rsidRPr="0094319A" w:rsidRDefault="0094319A" w:rsidP="0094319A">
      <w:pPr>
        <w:adjustRightInd w:val="0"/>
        <w:snapToGrid w:val="0"/>
        <w:spacing w:line="560" w:lineRule="exact"/>
        <w:ind w:firstLineChars="200" w:firstLine="640"/>
        <w:rPr>
          <w:rFonts w:ascii="黑体" w:eastAsia="黑体" w:hAnsi="黑体"/>
        </w:rPr>
      </w:pPr>
      <w:r w:rsidRPr="0094319A">
        <w:rPr>
          <w:rFonts w:ascii="黑体" w:eastAsia="黑体" w:hAnsi="黑体" w:hint="eastAsia"/>
        </w:rPr>
        <w:t>五、政府信息公开工作存在的问题及改进情况</w:t>
      </w:r>
    </w:p>
    <w:p w:rsidR="00FA7D13" w:rsidRPr="0094319A" w:rsidRDefault="0002514A" w:rsidP="0094319A">
      <w:pPr>
        <w:adjustRightInd w:val="0"/>
        <w:snapToGrid w:val="0"/>
        <w:spacing w:line="560" w:lineRule="exact"/>
        <w:ind w:firstLineChars="150" w:firstLine="480"/>
        <w:rPr>
          <w:rFonts w:ascii="仿宋" w:hAnsi="仿宋" w:cs="楷体"/>
          <w:szCs w:val="32"/>
        </w:rPr>
      </w:pPr>
      <w:r>
        <w:rPr>
          <w:rFonts w:ascii="楷体" w:eastAsia="楷体" w:hAnsi="楷体" w:cs="楷体" w:hint="eastAsia"/>
          <w:szCs w:val="32"/>
        </w:rPr>
        <w:t>（一）</w:t>
      </w:r>
      <w:r>
        <w:rPr>
          <w:rFonts w:ascii="楷体" w:eastAsia="楷体" w:hAnsi="楷体" w:cs="楷体" w:hint="eastAsia"/>
          <w:szCs w:val="32"/>
        </w:rPr>
        <w:t>政府信息公开工作存在的问题。</w:t>
      </w:r>
      <w:r w:rsidR="0094319A" w:rsidRPr="0094319A">
        <w:rPr>
          <w:rFonts w:ascii="仿宋" w:hAnsi="仿宋" w:cs="楷体" w:hint="eastAsia"/>
          <w:szCs w:val="32"/>
        </w:rPr>
        <w:t>2022年，</w:t>
      </w:r>
      <w:proofErr w:type="gramStart"/>
      <w:r w:rsidR="0094319A" w:rsidRPr="0094319A">
        <w:rPr>
          <w:rFonts w:ascii="仿宋" w:hAnsi="仿宋" w:cs="楷体" w:hint="eastAsia"/>
          <w:szCs w:val="32"/>
        </w:rPr>
        <w:t>我街政府</w:t>
      </w:r>
      <w:proofErr w:type="gramEnd"/>
      <w:r w:rsidR="0094319A" w:rsidRPr="0094319A">
        <w:rPr>
          <w:rFonts w:ascii="仿宋" w:hAnsi="仿宋" w:cs="楷体" w:hint="eastAsia"/>
          <w:szCs w:val="32"/>
        </w:rPr>
        <w:t>信息公开及网站建设工作中还存在一些不足，如政策解读不够图文并茂、形式不够新颖多样等</w:t>
      </w:r>
      <w:r w:rsidR="0094319A">
        <w:rPr>
          <w:rFonts w:ascii="仿宋" w:hAnsi="仿宋" w:cs="楷体" w:hint="eastAsia"/>
          <w:szCs w:val="32"/>
        </w:rPr>
        <w:t>。</w:t>
      </w:r>
    </w:p>
    <w:p w:rsidR="00FA7D13" w:rsidRPr="00915B3A" w:rsidRDefault="0002514A" w:rsidP="00915B3A">
      <w:pPr>
        <w:adjustRightInd w:val="0"/>
        <w:snapToGrid w:val="0"/>
        <w:spacing w:line="560" w:lineRule="exact"/>
        <w:ind w:firstLineChars="200" w:firstLine="640"/>
        <w:rPr>
          <w:rFonts w:ascii="楷体" w:eastAsia="楷体" w:hAnsi="楷体" w:cs="楷体"/>
          <w:szCs w:val="32"/>
        </w:rPr>
      </w:pPr>
      <w:r>
        <w:rPr>
          <w:rFonts w:ascii="楷体" w:eastAsia="楷体" w:hAnsi="楷体" w:cs="楷体" w:hint="eastAsia"/>
          <w:szCs w:val="32"/>
        </w:rPr>
        <w:t>（二）</w:t>
      </w:r>
      <w:bookmarkStart w:id="0" w:name="_GoBack"/>
      <w:bookmarkEnd w:id="0"/>
      <w:r>
        <w:rPr>
          <w:rFonts w:ascii="楷体" w:eastAsia="楷体" w:hAnsi="楷体" w:cs="楷体" w:hint="eastAsia"/>
          <w:szCs w:val="32"/>
        </w:rPr>
        <w:t>改进情况。</w:t>
      </w:r>
      <w:r w:rsidR="00915B3A" w:rsidRPr="00915B3A">
        <w:rPr>
          <w:rFonts w:ascii="仿宋" w:hAnsi="仿宋" w:cs="楷体" w:hint="eastAsia"/>
          <w:szCs w:val="32"/>
        </w:rPr>
        <w:t>下一步要引起足够的重视。重点要放在满足社会公众对政府信息的需求上，通过发布与群众生产生活息息</w:t>
      </w:r>
      <w:r w:rsidR="00915B3A" w:rsidRPr="00915B3A">
        <w:rPr>
          <w:rFonts w:ascii="仿宋" w:hAnsi="仿宋" w:cs="楷体" w:hint="eastAsia"/>
          <w:szCs w:val="32"/>
        </w:rPr>
        <w:lastRenderedPageBreak/>
        <w:t>相关的政府信息，特别是群众关注的疫情防控相关信息，增强政府公信力，为街道经济社会发展发挥积极作用</w:t>
      </w:r>
      <w:r w:rsidR="00915B3A">
        <w:rPr>
          <w:rFonts w:ascii="仿宋" w:hAnsi="仿宋" w:cs="楷体" w:hint="eastAsia"/>
          <w:szCs w:val="32"/>
        </w:rPr>
        <w:t>。</w:t>
      </w:r>
    </w:p>
    <w:p w:rsidR="00915B3A" w:rsidRPr="00915B3A" w:rsidRDefault="00915B3A">
      <w:pPr>
        <w:adjustRightInd w:val="0"/>
        <w:snapToGrid w:val="0"/>
        <w:spacing w:line="560" w:lineRule="exact"/>
        <w:ind w:firstLineChars="200" w:firstLine="640"/>
        <w:rPr>
          <w:rFonts w:ascii="黑体" w:eastAsia="黑体" w:hAnsi="黑体" w:cs="楷体" w:hint="eastAsia"/>
          <w:szCs w:val="32"/>
        </w:rPr>
      </w:pPr>
      <w:r w:rsidRPr="00915B3A">
        <w:rPr>
          <w:rFonts w:ascii="黑体" w:eastAsia="黑体" w:hAnsi="黑体" w:cs="楷体" w:hint="eastAsia"/>
          <w:szCs w:val="32"/>
        </w:rPr>
        <w:t>六、其他需要报告的事项</w:t>
      </w:r>
    </w:p>
    <w:p w:rsidR="00FA7D13" w:rsidRDefault="0002514A">
      <w:pPr>
        <w:adjustRightInd w:val="0"/>
        <w:snapToGrid w:val="0"/>
        <w:spacing w:line="560" w:lineRule="exact"/>
        <w:ind w:firstLineChars="200" w:firstLine="640"/>
        <w:rPr>
          <w:rFonts w:ascii="仿宋" w:hAnsi="仿宋" w:cs="仿宋"/>
          <w:color w:val="333333"/>
          <w:szCs w:val="32"/>
          <w:highlight w:val="yellow"/>
          <w:shd w:val="clear" w:color="auto" w:fill="FFFFFF"/>
        </w:rPr>
      </w:pPr>
      <w:r>
        <w:rPr>
          <w:rFonts w:ascii="楷体" w:eastAsia="楷体" w:hAnsi="楷体" w:cs="楷体" w:hint="eastAsia"/>
          <w:szCs w:val="32"/>
        </w:rPr>
        <w:t>（一）政府信息处理费收取情况。</w:t>
      </w:r>
      <w:r>
        <w:rPr>
          <w:rFonts w:ascii="仿宋" w:hAnsi="仿宋" w:cs="仿宋" w:hint="eastAsia"/>
          <w:kern w:val="0"/>
          <w:szCs w:val="32"/>
          <w:lang w:bidi="ar"/>
        </w:rPr>
        <w:t>2022</w:t>
      </w:r>
      <w:r>
        <w:rPr>
          <w:rFonts w:ascii="仿宋" w:hAnsi="仿宋" w:cs="仿宋" w:hint="eastAsia"/>
          <w:kern w:val="0"/>
          <w:szCs w:val="32"/>
          <w:lang w:bidi="ar"/>
        </w:rPr>
        <w:t>年度我单位收取政府信息处理费为</w:t>
      </w:r>
      <w:r>
        <w:rPr>
          <w:rFonts w:ascii="仿宋" w:hAnsi="仿宋" w:cs="仿宋" w:hint="eastAsia"/>
          <w:kern w:val="0"/>
          <w:szCs w:val="32"/>
          <w:lang w:bidi="ar"/>
        </w:rPr>
        <w:t>0</w:t>
      </w:r>
      <w:r>
        <w:rPr>
          <w:rFonts w:ascii="仿宋" w:hAnsi="仿宋" w:cs="仿宋" w:hint="eastAsia"/>
          <w:kern w:val="0"/>
          <w:szCs w:val="32"/>
          <w:lang w:bidi="ar"/>
        </w:rPr>
        <w:t>元。</w:t>
      </w:r>
    </w:p>
    <w:p w:rsidR="00FA7D13" w:rsidRPr="00915B3A" w:rsidRDefault="0002514A" w:rsidP="00915B3A">
      <w:pPr>
        <w:adjustRightInd w:val="0"/>
        <w:snapToGrid w:val="0"/>
        <w:spacing w:line="560" w:lineRule="exact"/>
        <w:ind w:firstLineChars="200" w:firstLine="640"/>
        <w:rPr>
          <w:rFonts w:ascii="仿宋" w:hAnsi="仿宋" w:cs="楷体"/>
          <w:szCs w:val="32"/>
        </w:rPr>
      </w:pPr>
      <w:r>
        <w:rPr>
          <w:rFonts w:ascii="楷体" w:eastAsia="楷体" w:hAnsi="楷体" w:cs="楷体" w:hint="eastAsia"/>
          <w:szCs w:val="32"/>
        </w:rPr>
        <w:t>（二）建议提案办理公开情况。</w:t>
      </w:r>
      <w:r w:rsidR="00915B3A" w:rsidRPr="00915B3A">
        <w:rPr>
          <w:rFonts w:ascii="仿宋" w:hAnsi="仿宋" w:cs="楷体" w:hint="eastAsia"/>
          <w:szCs w:val="32"/>
        </w:rPr>
        <w:t>2022年，</w:t>
      </w:r>
      <w:proofErr w:type="gramStart"/>
      <w:r w:rsidR="00915B3A" w:rsidRPr="00915B3A">
        <w:rPr>
          <w:rFonts w:ascii="仿宋" w:hAnsi="仿宋" w:cs="楷体" w:hint="eastAsia"/>
          <w:szCs w:val="32"/>
        </w:rPr>
        <w:t>我街认真</w:t>
      </w:r>
      <w:proofErr w:type="gramEnd"/>
      <w:r w:rsidR="00915B3A" w:rsidRPr="00915B3A">
        <w:rPr>
          <w:rFonts w:ascii="仿宋" w:hAnsi="仿宋" w:cs="楷体" w:hint="eastAsia"/>
          <w:szCs w:val="32"/>
        </w:rPr>
        <w:t>办理人大代表建议和政协提案，办结时及时上报公开。对社会广泛关注、关系国计民生的人大代表建议和政协提案，公开答复全文</w:t>
      </w:r>
      <w:r w:rsidR="00915B3A">
        <w:rPr>
          <w:rFonts w:ascii="仿宋" w:hAnsi="仿宋" w:cs="楷体" w:hint="eastAsia"/>
          <w:szCs w:val="32"/>
        </w:rPr>
        <w:t>。</w:t>
      </w:r>
    </w:p>
    <w:p w:rsidR="00FA7D13" w:rsidRPr="00915B3A" w:rsidRDefault="0002514A" w:rsidP="00915B3A">
      <w:pPr>
        <w:adjustRightInd w:val="0"/>
        <w:snapToGrid w:val="0"/>
        <w:spacing w:line="560" w:lineRule="exact"/>
        <w:ind w:firstLineChars="200" w:firstLine="640"/>
        <w:rPr>
          <w:rFonts w:ascii="楷体" w:eastAsia="楷体" w:hAnsi="楷体" w:cs="楷体"/>
          <w:szCs w:val="32"/>
        </w:rPr>
      </w:pPr>
      <w:r>
        <w:rPr>
          <w:rFonts w:ascii="楷体" w:eastAsia="楷体" w:hAnsi="楷体" w:cs="楷体" w:hint="eastAsia"/>
          <w:szCs w:val="32"/>
        </w:rPr>
        <w:t>（三）围绕重点领域加大主动公开力度。</w:t>
      </w:r>
      <w:r w:rsidR="00915B3A" w:rsidRPr="00915B3A">
        <w:rPr>
          <w:rFonts w:ascii="仿宋" w:hAnsi="仿宋" w:cs="楷体" w:hint="eastAsia"/>
          <w:szCs w:val="32"/>
        </w:rPr>
        <w:t>一年来，</w:t>
      </w:r>
      <w:proofErr w:type="gramStart"/>
      <w:r w:rsidR="00915B3A" w:rsidRPr="00915B3A">
        <w:rPr>
          <w:rFonts w:ascii="仿宋" w:hAnsi="仿宋" w:cs="楷体" w:hint="eastAsia"/>
          <w:szCs w:val="32"/>
        </w:rPr>
        <w:t>我街认真</w:t>
      </w:r>
      <w:proofErr w:type="gramEnd"/>
      <w:r w:rsidR="00915B3A" w:rsidRPr="00915B3A">
        <w:rPr>
          <w:rFonts w:ascii="仿宋" w:hAnsi="仿宋" w:cs="楷体" w:hint="eastAsia"/>
          <w:szCs w:val="32"/>
        </w:rPr>
        <w:t>按照《政务公开工作要点》要求，将重点工作、重点项目和社会公益事业建设等重点领域信息主动纳入公开基本目录，在项目建设推进中严格按照招投标程序公开公布，阳光操作，公正透明，适时在政务信息中公布，认真按政策规定和要求抓好贯彻落实</w:t>
      </w:r>
      <w:r w:rsidR="00915B3A">
        <w:rPr>
          <w:rFonts w:ascii="仿宋" w:hAnsi="仿宋" w:cs="楷体" w:hint="eastAsia"/>
          <w:szCs w:val="32"/>
        </w:rPr>
        <w:t>。</w:t>
      </w:r>
    </w:p>
    <w:p w:rsidR="00FA7D13" w:rsidRDefault="00FA7D13">
      <w:pPr>
        <w:adjustRightInd w:val="0"/>
        <w:snapToGrid w:val="0"/>
        <w:spacing w:line="560" w:lineRule="exact"/>
        <w:rPr>
          <w:rFonts w:ascii="仿宋" w:hAnsi="仿宋" w:cs="仿宋"/>
          <w:color w:val="333333"/>
          <w:szCs w:val="32"/>
          <w:shd w:val="clear" w:color="auto" w:fill="FFFFFF"/>
        </w:rPr>
      </w:pPr>
    </w:p>
    <w:p w:rsidR="00915B3A" w:rsidRDefault="00915B3A">
      <w:pPr>
        <w:adjustRightInd w:val="0"/>
        <w:snapToGrid w:val="0"/>
        <w:spacing w:line="560" w:lineRule="exact"/>
        <w:rPr>
          <w:rFonts w:hint="eastAsia"/>
        </w:rPr>
      </w:pPr>
    </w:p>
    <w:p w:rsidR="00FA7D13" w:rsidRDefault="00915B3A" w:rsidP="00915B3A">
      <w:pPr>
        <w:adjustRightInd w:val="0"/>
        <w:snapToGrid w:val="0"/>
        <w:spacing w:line="560" w:lineRule="exact"/>
        <w:jc w:val="right"/>
        <w:rPr>
          <w:rFonts w:hint="eastAsia"/>
        </w:rPr>
      </w:pPr>
      <w:r w:rsidRPr="00915B3A">
        <w:rPr>
          <w:rFonts w:hint="eastAsia"/>
        </w:rPr>
        <w:t>武汉市硚口区人民政府汉中街道办事处</w:t>
      </w:r>
    </w:p>
    <w:p w:rsidR="00915B3A" w:rsidRPr="00915B3A" w:rsidRDefault="00915B3A" w:rsidP="00915B3A">
      <w:pPr>
        <w:ind w:firstLineChars="1650" w:firstLine="5280"/>
        <w:rPr>
          <w:rFonts w:ascii="仿宋" w:hAnsi="仿宋"/>
        </w:rPr>
      </w:pPr>
      <w:r w:rsidRPr="00915B3A">
        <w:rPr>
          <w:rFonts w:ascii="仿宋" w:hAnsi="仿宋" w:hint="eastAsia"/>
        </w:rPr>
        <w:t>2023年1月3日</w:t>
      </w:r>
    </w:p>
    <w:p w:rsidR="00FA7D13" w:rsidRPr="00915B3A" w:rsidRDefault="00FA7D13">
      <w:pPr>
        <w:adjustRightInd w:val="0"/>
        <w:snapToGrid w:val="0"/>
        <w:spacing w:line="560" w:lineRule="exact"/>
        <w:ind w:firstLineChars="1000" w:firstLine="3200"/>
        <w:jc w:val="center"/>
        <w:rPr>
          <w:rFonts w:ascii="仿宋" w:hAnsi="仿宋" w:cs="仿宋"/>
          <w:color w:val="333333"/>
          <w:szCs w:val="32"/>
          <w:shd w:val="clear" w:color="auto" w:fill="FFFFFF"/>
        </w:rPr>
      </w:pPr>
    </w:p>
    <w:p w:rsidR="00FA7D13" w:rsidRPr="00683485" w:rsidRDefault="00FA7D13" w:rsidP="00915B3A">
      <w:pPr>
        <w:adjustRightInd w:val="0"/>
        <w:snapToGrid w:val="0"/>
        <w:spacing w:line="560" w:lineRule="exact"/>
        <w:ind w:firstLineChars="1000" w:firstLine="3200"/>
        <w:rPr>
          <w:rFonts w:ascii="仿宋" w:hAnsi="仿宋" w:cs="仿宋"/>
          <w:color w:val="333333"/>
          <w:szCs w:val="32"/>
          <w:shd w:val="clear" w:color="auto" w:fill="FFFFFF"/>
        </w:rPr>
      </w:pPr>
    </w:p>
    <w:p w:rsidR="00FA7D13" w:rsidRDefault="00FA7D13"/>
    <w:sectPr w:rsidR="00FA7D13">
      <w:headerReference w:type="default" r:id="rId9"/>
      <w:footerReference w:type="default" r:id="rId10"/>
      <w:pgSz w:w="11906" w:h="16838"/>
      <w:pgMar w:top="1417" w:right="1304" w:bottom="1417" w:left="1587"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4A" w:rsidRDefault="0002514A">
      <w:r>
        <w:separator/>
      </w:r>
    </w:p>
  </w:endnote>
  <w:endnote w:type="continuationSeparator" w:id="0">
    <w:p w:rsidR="0002514A" w:rsidRDefault="0002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3" w:rsidRDefault="0002514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D13" w:rsidRDefault="000251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319A">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A7D13" w:rsidRDefault="000251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319A">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4A" w:rsidRDefault="0002514A">
      <w:r>
        <w:separator/>
      </w:r>
    </w:p>
  </w:footnote>
  <w:footnote w:type="continuationSeparator" w:id="0">
    <w:p w:rsidR="0002514A" w:rsidRDefault="00025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3" w:rsidRDefault="00FA7D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F20DC"/>
    <w:multiLevelType w:val="singleLevel"/>
    <w:tmpl w:val="DC5F20DC"/>
    <w:lvl w:ilvl="0">
      <w:start w:val="4"/>
      <w:numFmt w:val="chineseCounting"/>
      <w:suff w:val="nothing"/>
      <w:lvlText w:val="%1、"/>
      <w:lvlJc w:val="left"/>
      <w:rPr>
        <w:rFonts w:hint="eastAsia"/>
      </w:rPr>
    </w:lvl>
  </w:abstractNum>
  <w:abstractNum w:abstractNumId="1">
    <w:nsid w:val="61E8D57D"/>
    <w:multiLevelType w:val="singleLevel"/>
    <w:tmpl w:val="61E8D57D"/>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3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C0AD3"/>
    <w:rsid w:val="D7DF61AD"/>
    <w:rsid w:val="FDF5E228"/>
    <w:rsid w:val="0002514A"/>
    <w:rsid w:val="001C2011"/>
    <w:rsid w:val="002B3875"/>
    <w:rsid w:val="003C3715"/>
    <w:rsid w:val="004B0135"/>
    <w:rsid w:val="004B4F87"/>
    <w:rsid w:val="00605C60"/>
    <w:rsid w:val="00611F8E"/>
    <w:rsid w:val="00683485"/>
    <w:rsid w:val="00746F2C"/>
    <w:rsid w:val="00915B3A"/>
    <w:rsid w:val="0094319A"/>
    <w:rsid w:val="00D71107"/>
    <w:rsid w:val="00ED42B8"/>
    <w:rsid w:val="00FA7D13"/>
    <w:rsid w:val="01EC1AED"/>
    <w:rsid w:val="037F2D27"/>
    <w:rsid w:val="052917BF"/>
    <w:rsid w:val="098C611E"/>
    <w:rsid w:val="0D5D24AA"/>
    <w:rsid w:val="115525F1"/>
    <w:rsid w:val="150E6FA4"/>
    <w:rsid w:val="1A8B5367"/>
    <w:rsid w:val="1C962A53"/>
    <w:rsid w:val="1CC16FD3"/>
    <w:rsid w:val="1DA00D46"/>
    <w:rsid w:val="1EE92E33"/>
    <w:rsid w:val="22A40E1D"/>
    <w:rsid w:val="248A22C0"/>
    <w:rsid w:val="24E15F49"/>
    <w:rsid w:val="2B4C1158"/>
    <w:rsid w:val="30860C31"/>
    <w:rsid w:val="322061A2"/>
    <w:rsid w:val="329A6F82"/>
    <w:rsid w:val="352F054B"/>
    <w:rsid w:val="365E1FB7"/>
    <w:rsid w:val="366250B4"/>
    <w:rsid w:val="37CC0E04"/>
    <w:rsid w:val="3C845E4C"/>
    <w:rsid w:val="3D244FCD"/>
    <w:rsid w:val="3E387986"/>
    <w:rsid w:val="3EE26EF1"/>
    <w:rsid w:val="3F2020A0"/>
    <w:rsid w:val="41F503BF"/>
    <w:rsid w:val="43C7292A"/>
    <w:rsid w:val="48721890"/>
    <w:rsid w:val="49305D23"/>
    <w:rsid w:val="49DB3ECB"/>
    <w:rsid w:val="4A5F22AE"/>
    <w:rsid w:val="4C405AA8"/>
    <w:rsid w:val="4C473091"/>
    <w:rsid w:val="4CF93541"/>
    <w:rsid w:val="4E410A99"/>
    <w:rsid w:val="503074FD"/>
    <w:rsid w:val="508D6B41"/>
    <w:rsid w:val="52942FBF"/>
    <w:rsid w:val="53621B26"/>
    <w:rsid w:val="55A51426"/>
    <w:rsid w:val="56A04DA2"/>
    <w:rsid w:val="56F71C82"/>
    <w:rsid w:val="5706452B"/>
    <w:rsid w:val="584047F2"/>
    <w:rsid w:val="5AEA584D"/>
    <w:rsid w:val="5C224925"/>
    <w:rsid w:val="5DE20BE1"/>
    <w:rsid w:val="5DE9691C"/>
    <w:rsid w:val="5EF335E8"/>
    <w:rsid w:val="5FD9346B"/>
    <w:rsid w:val="60C803C5"/>
    <w:rsid w:val="61661219"/>
    <w:rsid w:val="61AD2C1C"/>
    <w:rsid w:val="670C0AD3"/>
    <w:rsid w:val="67FB5E61"/>
    <w:rsid w:val="686132DE"/>
    <w:rsid w:val="6AB914D7"/>
    <w:rsid w:val="6E0466D7"/>
    <w:rsid w:val="701F2C86"/>
    <w:rsid w:val="718D41B8"/>
    <w:rsid w:val="71DB3BBD"/>
    <w:rsid w:val="72B22790"/>
    <w:rsid w:val="731F301C"/>
    <w:rsid w:val="73416A72"/>
    <w:rsid w:val="75022D57"/>
    <w:rsid w:val="75FB06D8"/>
    <w:rsid w:val="76E913D6"/>
    <w:rsid w:val="776D224D"/>
    <w:rsid w:val="7D366E7C"/>
    <w:rsid w:val="7EBD56DD"/>
    <w:rsid w:val="7F0A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仿宋" w:hAnsiTheme="minorHAnsi" w:cstheme="minorBidi"/>
      <w:kern w:val="2"/>
      <w:sz w:val="32"/>
      <w:szCs w:val="24"/>
    </w:rPr>
  </w:style>
  <w:style w:type="paragraph" w:styleId="1">
    <w:name w:val="heading 1"/>
    <w:basedOn w:val="a"/>
    <w:next w:val="a"/>
    <w:qFormat/>
    <w:pPr>
      <w:keepNext/>
      <w:keepLines/>
      <w:spacing w:before="340" w:after="330" w:line="576" w:lineRule="auto"/>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rFonts w:cs="Times New Roman"/>
      <w:kern w:val="0"/>
      <w:sz w:val="24"/>
    </w:rPr>
  </w:style>
  <w:style w:type="paragraph" w:customStyle="1" w:styleId="Headerorfooter2">
    <w:name w:val="Header or footer|2"/>
    <w:basedOn w:val="a"/>
    <w:qFormat/>
    <w:rPr>
      <w:sz w:val="20"/>
      <w:szCs w:val="20"/>
      <w:lang w:val="zh-TW" w:eastAsia="zh-TW" w:bidi="zh-TW"/>
    </w:rPr>
  </w:style>
  <w:style w:type="paragraph" w:styleId="a6">
    <w:name w:val="List Paragraph"/>
    <w:basedOn w:val="a"/>
    <w:uiPriority w:val="99"/>
    <w:unhideWhenUsed/>
    <w:rsid w:val="0094319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仿宋" w:hAnsiTheme="minorHAnsi" w:cstheme="minorBidi"/>
      <w:kern w:val="2"/>
      <w:sz w:val="32"/>
      <w:szCs w:val="24"/>
    </w:rPr>
  </w:style>
  <w:style w:type="paragraph" w:styleId="1">
    <w:name w:val="heading 1"/>
    <w:basedOn w:val="a"/>
    <w:next w:val="a"/>
    <w:qFormat/>
    <w:pPr>
      <w:keepNext/>
      <w:keepLines/>
      <w:spacing w:before="340" w:after="330" w:line="576" w:lineRule="auto"/>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rFonts w:cs="Times New Roman"/>
      <w:kern w:val="0"/>
      <w:sz w:val="24"/>
    </w:rPr>
  </w:style>
  <w:style w:type="paragraph" w:customStyle="1" w:styleId="Headerorfooter2">
    <w:name w:val="Header or footer|2"/>
    <w:basedOn w:val="a"/>
    <w:qFormat/>
    <w:rPr>
      <w:sz w:val="20"/>
      <w:szCs w:val="20"/>
      <w:lang w:val="zh-TW" w:eastAsia="zh-TW" w:bidi="zh-TW"/>
    </w:rPr>
  </w:style>
  <w:style w:type="paragraph" w:styleId="a6">
    <w:name w:val="List Paragraph"/>
    <w:basedOn w:val="a"/>
    <w:uiPriority w:val="99"/>
    <w:unhideWhenUsed/>
    <w:rsid w:val="009431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448</Words>
  <Characters>2558</Characters>
  <Application>Microsoft Office Word</Application>
  <DocSecurity>0</DocSecurity>
  <Lines>21</Lines>
  <Paragraphs>5</Paragraphs>
  <ScaleCrop>false</ScaleCrop>
  <Company>硚口区行政审批局</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dc:creator>
  <cp:lastModifiedBy>程丹</cp:lastModifiedBy>
  <cp:revision>11</cp:revision>
  <cp:lastPrinted>2023-01-03T03:46:00Z</cp:lastPrinted>
  <dcterms:created xsi:type="dcterms:W3CDTF">2020-12-09T19:48:00Z</dcterms:created>
  <dcterms:modified xsi:type="dcterms:W3CDTF">2023-01-03T03:56:00Z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