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spacing w:val="0"/>
          <w:kern w:val="0"/>
          <w:sz w:val="44"/>
          <w:szCs w:val="44"/>
          <w:lang w:val="en-US" w:eastAsia="zh-CN"/>
        </w:rPr>
      </w:pPr>
      <w:r>
        <w:rPr>
          <w:rFonts w:hint="eastAsia" w:asciiTheme="minorEastAsia" w:hAnsiTheme="minorEastAsia" w:eastAsiaTheme="minorEastAsia" w:cstheme="minorEastAsia"/>
          <w:b/>
          <w:bCs/>
          <w:spacing w:val="0"/>
          <w:kern w:val="0"/>
          <w:sz w:val="44"/>
          <w:szCs w:val="44"/>
          <w:lang w:val="en-US" w:eastAsia="zh-CN"/>
        </w:rPr>
        <w:t>硚口区人民政府办公室2022年度政府</w:t>
      </w:r>
    </w:p>
    <w:p>
      <w:pPr>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pacing w:val="0"/>
          <w:kern w:val="0"/>
          <w:sz w:val="44"/>
          <w:szCs w:val="44"/>
          <w:lang w:val="en-US" w:eastAsia="zh-CN"/>
        </w:rPr>
        <w:t>信息公开工作年度报告</w:t>
      </w: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color w:val="555555"/>
          <w:sz w:val="32"/>
          <w:szCs w:val="32"/>
        </w:rPr>
      </w:pPr>
      <w:r>
        <w:rPr>
          <w:rFonts w:hint="default" w:ascii="Times New Roman" w:hAnsi="Times New Roman" w:eastAsia="仿宋_GB2312" w:cs="Times New Roman"/>
          <w:kern w:val="0"/>
          <w:sz w:val="32"/>
          <w:szCs w:val="32"/>
          <w:lang w:val="en-US" w:eastAsia="zh-CN"/>
        </w:rPr>
        <w:t>2022年，区人民政府办公室坚持以习近平新时代中国特色社会主义思想为指导，聚焦社会公众需求，按照“公开为原则，不公开为例外”的要求，依法依规推动政府信息公开，着力提升信息公开质量和实效。根据《中华人民共和国政府信息公开条例》（国务院令第711号）规定，现公开区人民政府办公室2022年度政府信息公开工作年度报告。本年度报告中所列数据的统计期限为2022年1月1日至2022年12月31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一、总体情况</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主动公开情况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印发《硚口区2022年政务公开工作要点》，主动公开领导简介、内设机构及职责等信息，机构设置相关内容，及时更新政府文件、政府办文件、年度财政预算决算等信息。组织各部门、各街道动态调整2022年试点领域基层政务公开标准目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依申请公开情况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指导区行政审批局完善依申请信息登记、审核、归档等工作。与上级对标对表，进一步规范区政府信息公开申请答复书格式和印章。2022年，共收到办理依申请公开政府信息47件。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政府信息管理情况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_GB2312" w:cs="Times New Roman"/>
          <w:kern w:val="0"/>
          <w:sz w:val="32"/>
          <w:szCs w:val="32"/>
          <w:lang w:val="en-US" w:eastAsia="zh-CN"/>
        </w:rPr>
        <w:t>规范信息公开源头管理，制作政府信息时即明确是否公开，定期对失效信息进行清理。</w:t>
      </w:r>
      <w:r>
        <w:rPr>
          <w:rFonts w:hint="default" w:ascii="Times New Roman" w:hAnsi="Times New Roman" w:eastAsia="仿宋" w:cs="Times New Roman"/>
          <w:b w:val="0"/>
          <w:bCs w:val="0"/>
          <w:color w:val="auto"/>
          <w:sz w:val="32"/>
          <w:szCs w:val="32"/>
          <w:highlight w:val="none"/>
          <w:lang w:val="en-US" w:eastAsia="zh-CN"/>
        </w:rPr>
        <w:t>建立健全政务公开体制机制，修订《硚口区人民政府办公室信息公开指南》《硚口区人民政府办公室政府信息公开申请表》。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政府信息公开平台建设情况</w:t>
      </w:r>
    </w:p>
    <w:p>
      <w:pPr>
        <w:keepNext/>
        <w:keepLines w:val="0"/>
        <w:pageBreakBefore w:val="0"/>
        <w:widowControl/>
        <w:suppressLineNumbers w:val="0"/>
        <w:shd w:val="clear" w:color="auto" w:fill="FFFFFF"/>
        <w:kinsoku/>
        <w:wordWrap w:val="0"/>
        <w:overflowPunct/>
        <w:topLinePunct/>
        <w:autoSpaceDE/>
        <w:autoSpaceDN/>
        <w:bidi w:val="0"/>
        <w:adjustRightInd/>
        <w:snapToGrid/>
        <w:spacing w:afterAutospacing="0"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kern w:val="0"/>
          <w:sz w:val="32"/>
          <w:szCs w:val="32"/>
          <w:highlight w:val="none"/>
          <w:lang w:val="en-US" w:eastAsia="zh-CN"/>
        </w:rPr>
        <w:t>完善政务公开专区建设，利用政务中心大厅电子屏公开《政府信息公开条例》等信息。优化微信公众号功能，实现线上人工咨询，扩大公众知晓率。</w:t>
      </w:r>
      <w:r>
        <w:rPr>
          <w:rFonts w:hint="default" w:ascii="Times New Roman" w:hAnsi="Times New Roman" w:eastAsia="方正仿宋_GBK" w:cs="Times New Roman"/>
          <w:b w:val="0"/>
          <w:bCs w:val="0"/>
          <w:color w:val="auto"/>
          <w:sz w:val="32"/>
          <w:szCs w:val="32"/>
          <w:highlight w:val="none"/>
          <w:lang w:val="en-US" w:eastAsia="zh-CN"/>
        </w:rPr>
        <w:t>通过区政府门户网站主动公开各类政府信息，区政府门户网站再次被评为“2022年度中国领先政务网站”。</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监督保障情况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将政府信息公开工作纳入年度法治建设工作要点。积极开展政务公开培训。对主动公开栏目进行日常监测、内容保障和管理维护，确保组织有力，有效监督。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二、主动公开政府信息情况</w:t>
      </w:r>
    </w:p>
    <w:tbl>
      <w:tblPr>
        <w:tblStyle w:val="6"/>
        <w:tblpPr w:leftFromText="180" w:rightFromText="180" w:vertAnchor="text" w:horzAnchor="page" w:tblpXSpec="center" w:tblpY="243"/>
        <w:tblOverlap w:val="never"/>
        <w:tblW w:w="51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2"/>
        <w:gridCol w:w="2102"/>
        <w:gridCol w:w="2102"/>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3"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1216"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本年制发件数</w:t>
            </w:r>
          </w:p>
        </w:tc>
        <w:tc>
          <w:tcPr>
            <w:tcW w:w="1216" w:type="pct"/>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本年废止件数</w:t>
            </w:r>
          </w:p>
        </w:tc>
        <w:tc>
          <w:tcPr>
            <w:tcW w:w="1351"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规章</w:t>
            </w:r>
          </w:p>
        </w:tc>
        <w:tc>
          <w:tcPr>
            <w:tcW w:w="1216" w:type="pct"/>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c>
          <w:tcPr>
            <w:tcW w:w="1216" w:type="pct"/>
            <w:tcBorders>
              <w:top w:val="nil"/>
              <w:left w:val="nil"/>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c>
          <w:tcPr>
            <w:tcW w:w="1351" w:type="pct"/>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Calibri" w:hAnsi="Calibri" w:cs="Calibri"/>
                <w:color w:val="auto"/>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行政规范性文件</w:t>
            </w:r>
          </w:p>
        </w:tc>
        <w:tc>
          <w:tcPr>
            <w:tcW w:w="121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c>
          <w:tcPr>
            <w:tcW w:w="121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c>
          <w:tcPr>
            <w:tcW w:w="1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Calibri" w:hAnsi="Calibri" w:cs="Calibri"/>
                <w:color w:val="auto"/>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5000" w:type="pct"/>
            <w:gridSpan w:val="4"/>
            <w:tcBorders>
              <w:top w:val="single" w:color="auto" w:sz="4"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83"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行政许可</w:t>
            </w:r>
          </w:p>
        </w:tc>
        <w:tc>
          <w:tcPr>
            <w:tcW w:w="3783"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83"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行政处罚</w:t>
            </w:r>
          </w:p>
        </w:tc>
        <w:tc>
          <w:tcPr>
            <w:tcW w:w="3783"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行政强制</w:t>
            </w:r>
          </w:p>
        </w:tc>
        <w:tc>
          <w:tcPr>
            <w:tcW w:w="3783"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rFonts w:hint="default"/>
                <w:color w:val="auto"/>
                <w:sz w:val="21"/>
                <w:szCs w:val="21"/>
                <w:highlight w:val="none"/>
                <w:lang w:val="en-US"/>
              </w:rPr>
            </w:pPr>
            <w:r>
              <w:rPr>
                <w:rFonts w:hint="eastAsia" w:ascii="宋体" w:hAnsi="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83"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5" w:hRule="atLeast"/>
          <w:jc w:val="center"/>
        </w:trPr>
        <w:tc>
          <w:tcPr>
            <w:tcW w:w="1216"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spacing w:beforeAutospacing="0" w:afterAutospacing="0" w:line="560" w:lineRule="exact"/>
              <w:ind w:left="0" w:leftChars="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行政事业性收费</w:t>
            </w:r>
          </w:p>
        </w:tc>
        <w:tc>
          <w:tcPr>
            <w:tcW w:w="3783" w:type="pct"/>
            <w:gridSpan w:val="3"/>
            <w:tcBorders>
              <w:top w:val="nil"/>
              <w:left w:val="nil"/>
              <w:bottom w:val="single" w:color="auto" w:sz="8" w:space="0"/>
              <w:right w:val="single" w:color="000000" w:sz="8" w:space="0"/>
            </w:tcBorders>
            <w:noWrap w:val="0"/>
            <w:tcMar>
              <w:left w:w="57" w:type="dxa"/>
              <w:right w:w="57" w:type="dxa"/>
            </w:tcMar>
            <w:vAlign w:val="center"/>
          </w:tcPr>
          <w:p>
            <w:pPr>
              <w:keepLines w:val="0"/>
              <w:pageBreakBefore w:val="0"/>
              <w:kinsoku/>
              <w:overflowPunct/>
              <w:autoSpaceDE/>
              <w:autoSpaceDN/>
              <w:bidi w:val="0"/>
              <w:spacing w:line="560" w:lineRule="exact"/>
              <w:ind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三、收到和处理政府信息公开申请情况</w:t>
      </w:r>
    </w:p>
    <w:tbl>
      <w:tblPr>
        <w:tblStyle w:val="6"/>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29"/>
        <w:gridCol w:w="771"/>
        <w:gridCol w:w="2765"/>
        <w:gridCol w:w="573"/>
        <w:gridCol w:w="573"/>
        <w:gridCol w:w="573"/>
        <w:gridCol w:w="573"/>
        <w:gridCol w:w="573"/>
        <w:gridCol w:w="594"/>
        <w:gridCol w:w="5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cs="Times New Roman"/>
              </w:rPr>
            </w:pPr>
            <w:r>
              <w:rPr>
                <w:rFonts w:hint="default" w:ascii="Times New Roman" w:hAnsi="Times New Roman" w:eastAsia="楷体" w:cs="Times New Roman"/>
                <w:color w:val="333333"/>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US" w:eastAsia="zh-CN" w:bidi="ar"/>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42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3</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2</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5</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4</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26</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1</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2</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3</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lang w:val="en"/>
              </w:rPr>
            </w:pPr>
            <w:r>
              <w:rPr>
                <w:rFonts w:hint="default" w:ascii="Times New Roman" w:hAnsi="Times New Roman" w:eastAsia="宋体" w:cs="Times New Roman"/>
                <w:color w:val="333333"/>
                <w:kern w:val="0"/>
                <w:sz w:val="21"/>
                <w:szCs w:val="21"/>
                <w:lang w:val="en" w:eastAsia="zh-CN" w:bidi="ar"/>
              </w:rPr>
              <w:t>7</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333333"/>
                <w:kern w:val="0"/>
                <w:sz w:val="21"/>
                <w:szCs w:val="21"/>
                <w:lang w:val="en"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lang w:val="en" w:eastAsia="zh-CN" w:bidi="ar"/>
              </w:rPr>
              <w:t>2</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333333"/>
                <w:sz w:val="21"/>
                <w:szCs w:val="21"/>
                <w:lang w:val="en"/>
              </w:rPr>
            </w:pPr>
            <w:r>
              <w:rPr>
                <w:rFonts w:hint="default" w:ascii="Times New Roman" w:hAnsi="Times New Roman" w:eastAsia="宋体" w:cs="Times New Roman"/>
                <w:color w:val="333333"/>
                <w:sz w:val="21"/>
                <w:szCs w:val="21"/>
                <w:lang w:val="en"/>
              </w:rPr>
              <w:t>9</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四、政府信息公开行政复议、行政诉讼情况</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564"/>
        <w:gridCol w:w="564"/>
        <w:gridCol w:w="564"/>
        <w:gridCol w:w="578"/>
        <w:gridCol w:w="566"/>
        <w:gridCol w:w="566"/>
        <w:gridCol w:w="566"/>
        <w:gridCol w:w="566"/>
        <w:gridCol w:w="576"/>
        <w:gridCol w:w="566"/>
        <w:gridCol w:w="566"/>
        <w:gridCol w:w="567"/>
        <w:gridCol w:w="567"/>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其他</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其他</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结果</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333333"/>
                <w:kern w:val="0"/>
                <w:sz w:val="20"/>
                <w:szCs w:val="20"/>
                <w:lang w:val="en-US" w:eastAsia="zh-CN" w:bidi="ar"/>
              </w:rPr>
              <w:t>尚未</w:t>
            </w:r>
            <w:r>
              <w:rPr>
                <w:rFonts w:hint="default" w:ascii="Times New Roman" w:hAnsi="Times New Roman" w:eastAsia="宋体" w:cs="Times New Roman"/>
                <w:color w:val="333333"/>
                <w:kern w:val="0"/>
                <w:sz w:val="20"/>
                <w:szCs w:val="20"/>
                <w:lang w:val="en-US" w:eastAsia="zh-CN" w:bidi="ar"/>
              </w:rPr>
              <w:br w:type="textWrapping"/>
            </w:r>
            <w:r>
              <w:rPr>
                <w:rFonts w:hint="default" w:ascii="Times New Roman" w:hAnsi="Times New Roman" w:eastAsia="宋体" w:cs="Times New Roman"/>
                <w:color w:val="333333"/>
                <w:kern w:val="0"/>
                <w:sz w:val="20"/>
                <w:szCs w:val="20"/>
                <w:lang w:val="en-US" w:eastAsia="zh-CN"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lang w:val="en-US"/>
              </w:rPr>
            </w:pPr>
            <w:r>
              <w:rPr>
                <w:rFonts w:hint="default" w:ascii="Times New Roman" w:hAnsi="Times New Roman" w:eastAsia="黑体" w:cs="Times New Roman"/>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0" w:beforeAutospacing="0" w:afterAutospacing="0" w:line="6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color w:val="333333"/>
                <w:kern w:val="2"/>
                <w:sz w:val="20"/>
                <w:szCs w:val="20"/>
                <w:lang w:val="en-US" w:eastAsia="zh-CN" w:bidi="ar"/>
              </w:rPr>
              <w:t>0 </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Lines w:val="0"/>
              <w:pageBreakBefore w:val="0"/>
              <w:kinsoku/>
              <w:overflowPunct/>
              <w:autoSpaceDE/>
              <w:autoSpaceDN/>
              <w:bidi w:val="0"/>
              <w:adjustRightInd/>
              <w:snapToGrid/>
              <w:spacing w:line="600" w:lineRule="exact"/>
              <w:jc w:val="left"/>
              <w:textAlignment w:val="auto"/>
              <w:rPr>
                <w:rFonts w:hint="default" w:ascii="Times New Roman" w:hAnsi="Times New Roman" w:eastAsia="宋体" w:cs="Times New Roman"/>
                <w:color w:val="333333"/>
                <w:sz w:val="21"/>
                <w:szCs w:val="21"/>
                <w:lang w:val="en-US" w:eastAsia="zh-CN"/>
              </w:rPr>
            </w:pPr>
            <w:r>
              <w:rPr>
                <w:rFonts w:hint="default" w:ascii="Times New Roman" w:hAnsi="Times New Roman" w:cs="Times New Roman"/>
                <w:color w:val="333333"/>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存在不足：主要是公开信息广度深度有待拓展，部分信息的公开方式不够灵活多样；政策解读的质量还有待进一步提升，在图表图解解读方面较为薄弱；依申请办理机制仍需优化。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_GB2312" w:cs="Times New Roman"/>
          <w:kern w:val="0"/>
          <w:sz w:val="32"/>
          <w:szCs w:val="32"/>
          <w:lang w:val="en-US" w:eastAsia="zh-CN"/>
        </w:rPr>
        <w:t>下步打算：</w:t>
      </w:r>
      <w:r>
        <w:rPr>
          <w:rFonts w:hint="default" w:ascii="Times New Roman" w:hAnsi="Times New Roman" w:eastAsia="仿宋" w:cs="Times New Roman"/>
          <w:b w:val="0"/>
          <w:bCs w:val="0"/>
          <w:color w:val="auto"/>
          <w:sz w:val="32"/>
          <w:szCs w:val="32"/>
          <w:highlight w:val="none"/>
          <w:lang w:val="en-US" w:eastAsia="zh-CN"/>
        </w:rPr>
        <w:t>一是继续加大信息公开力度。提前谋划信息公开要点，加大信息公开培训力度，计划举办信息公开培训会、依申请公开交流会等，明确各个领域信息公开责任人，</w:t>
      </w:r>
      <w:r>
        <w:rPr>
          <w:rFonts w:hint="default" w:ascii="Times New Roman" w:hAnsi="Times New Roman" w:eastAsia="仿宋_GB2312" w:cs="Times New Roman"/>
          <w:kern w:val="0"/>
          <w:sz w:val="32"/>
          <w:szCs w:val="32"/>
          <w:lang w:val="en-US" w:eastAsia="zh-CN"/>
        </w:rPr>
        <w:t>提高公众获知政府信息的便利度。二是</w:t>
      </w:r>
      <w:r>
        <w:rPr>
          <w:rFonts w:hint="default" w:ascii="Times New Roman" w:hAnsi="Times New Roman" w:eastAsia="仿宋" w:cs="Times New Roman"/>
          <w:b w:val="0"/>
          <w:bCs w:val="0"/>
          <w:color w:val="auto"/>
          <w:sz w:val="32"/>
          <w:szCs w:val="32"/>
          <w:highlight w:val="none"/>
          <w:lang w:val="en-US" w:eastAsia="zh-CN"/>
        </w:rPr>
        <w:t>加强政策解读。加强解读回应，拓宽政策解读覆盖领域，提高图文、图表、视频等形式解读材料的比例，提升可读性。三是改进依申请公开。完善登记、审核、办理、答复、归档等工作流程，协调有关单位改善规范信息公开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本年度未收取政府信息处理费。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kern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560" w:lineRule="exact"/>
        <w:ind w:right="0"/>
        <w:jc w:val="both"/>
        <w:textAlignment w:val="auto"/>
        <w:rPr>
          <w:rFonts w:hint="eastAsia" w:ascii="仿宋" w:hAnsi="仿宋" w:eastAsia="仿宋" w:cs="仿宋"/>
          <w:b/>
          <w:bCs/>
          <w:color w:val="333333"/>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9F0FD"/>
    <w:multiLevelType w:val="singleLevel"/>
    <w:tmpl w:val="B2B9F0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WNkY2RmMTczNDZmNGVmNTI2NDdlZjZjZWQ2MjMifQ=="/>
  </w:docVars>
  <w:rsids>
    <w:rsidRoot w:val="34362D76"/>
    <w:rsid w:val="177EBEFD"/>
    <w:rsid w:val="33503F90"/>
    <w:rsid w:val="34362D76"/>
    <w:rsid w:val="35B34BC2"/>
    <w:rsid w:val="3DFF2A68"/>
    <w:rsid w:val="42756F78"/>
    <w:rsid w:val="694140BC"/>
    <w:rsid w:val="6C276F24"/>
    <w:rsid w:val="72DE4A1D"/>
    <w:rsid w:val="BA9F4E63"/>
    <w:rsid w:val="FCBE8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paragraph" w:styleId="4">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1925</Words>
  <Characters>1983</Characters>
  <Lines>0</Lines>
  <Paragraphs>0</Paragraphs>
  <TotalTime>0</TotalTime>
  <ScaleCrop>false</ScaleCrop>
  <LinksUpToDate>false</LinksUpToDate>
  <CharactersWithSpaces>1996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2022-01-25T16:53:00Z</dcterms:created>
  <dc:creator>橙某某</dc:creator>
  <cp:lastModifiedBy>user</cp:lastModifiedBy>
  <cp:lastPrinted>2023-01-31T17:04:00Z</cp:lastPrinted>
  <dcterms:modified xsi:type="dcterms:W3CDTF">2023-02-02T10:00:42Z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DD6923C4E4A243799287A1D2E959CF43</vt:lpwstr>
  </property>
</Properties>
</file>