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23597">
      <w:pPr>
        <w:keepNext/>
        <w:keepLines w:val="0"/>
        <w:pageBreakBefore w:val="0"/>
        <w:widowControl/>
        <w:numPr>
          <w:ilvl w:val="0"/>
          <w:numId w:val="0"/>
        </w:numPr>
        <w:kinsoku/>
        <w:wordWrap w:val="0"/>
        <w:overflowPunct/>
        <w:topLinePunct/>
        <w:autoSpaceDE/>
        <w:autoSpaceDN/>
        <w:bidi w:val="0"/>
        <w:adjustRightInd w:val="0"/>
        <w:snapToGrid w:val="0"/>
        <w:spacing w:line="560" w:lineRule="exact"/>
        <w:jc w:val="center"/>
        <w:textAlignment w:val="auto"/>
        <w:rPr>
          <w:rFonts w:hint="eastAsia" w:ascii="黑体" w:hAnsi="黑体" w:eastAsia="黑体" w:cs="黑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硚口区人民政府2021年度</w:t>
      </w:r>
    </w:p>
    <w:p w14:paraId="4CC4DBD6">
      <w:pPr>
        <w:keepNext/>
        <w:keepLines w:val="0"/>
        <w:pageBreakBefore w:val="0"/>
        <w:widowControl/>
        <w:numPr>
          <w:ilvl w:val="0"/>
          <w:numId w:val="0"/>
        </w:numPr>
        <w:kinsoku/>
        <w:wordWrap w:val="0"/>
        <w:overflowPunct/>
        <w:topLinePunct/>
        <w:autoSpaceDE/>
        <w:autoSpaceDN/>
        <w:bidi w:val="0"/>
        <w:adjustRightInd w:val="0"/>
        <w:snapToGrid w:val="0"/>
        <w:spacing w:line="560" w:lineRule="exact"/>
        <w:jc w:val="center"/>
        <w:textAlignment w:val="auto"/>
        <w:rPr>
          <w:rFonts w:hint="eastAsia" w:ascii="黑体" w:hAnsi="黑体" w:eastAsia="黑体" w:cs="黑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政府信息公开工作年度报告</w:t>
      </w:r>
    </w:p>
    <w:p w14:paraId="1E47B27F">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p>
    <w:p w14:paraId="630DAFF9">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根据《中华人民共和国政府信息公开条例》第五十条规定和国务院办公厅政府信息与政务公开办公室关于印发《中华人民共和国政府信息公开工作年度报告格式》的通知（国办公开办函﹝2021﹞30号）要求，综合硚口区政府各部门政府信息公开情况，编制本报告。数据统计期限为2021年1月1日至2021年12月31日。报告全文包括政府信息公开总体情况、主动公开政府信息情况、收到和处理政府信息公开申请情况、政府信息公开行政复议和行政诉讼情况、存在的主要问题及改进情况、其他需要报告的事项等六个部分。本报告的电子版可在武汉市硚口区人民政府门户网站（https://www.qiaokou.gov.cn）政府信息公开专栏查阅。如对本报告有疑问，请与硚口区政务服务和大数据管理局联系（地址：湖北省武汉市硚口区韩家墩街道解放大道213号，邮编：430030，电话：027-83616771）。</w:t>
      </w:r>
    </w:p>
    <w:p w14:paraId="1E8A72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一、总体情况</w:t>
      </w:r>
    </w:p>
    <w:p w14:paraId="7CD119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2021年,硚口区政务公开工作以习近平新时代中国特色社会主义思想为指导，紧紧围绕党的十九大和十九届历次全会精神，认真贯彻落实国家、省、市推进政务公开的决策部署。紧扣政府信息公开条例实施，扎实有效推进政府信息公开工作，提升政务公开质量实效。区门户网站连续四年被新华社评为“中国领先政务网站——区县政府门户网站第一名”。</w:t>
      </w:r>
    </w:p>
    <w:p w14:paraId="57555B3C">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认真做好政府信息主动公开工作</w:t>
      </w:r>
    </w:p>
    <w:p w14:paraId="3318FC4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2021年，硚口区人民政府门户网站信息更新总量为3568条。全区19家单位在门户网站发布26个试点领域基层政务公开目录。编制形成《硚口区政府网站及信息公开主体单位职责分工表》。</w:t>
      </w:r>
    </w:p>
    <w:p w14:paraId="0364204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（二）依申请公开情况</w:t>
      </w:r>
    </w:p>
    <w:p w14:paraId="523139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结合硚口区工作实际，更新《硚口区人民政府信息公开申请表》，制定符合工作实情的《政府信息公开申请接收回执》《依申请公开信件签收记录表》《依申请公开答复书签收记录表》和《政府依申请公开办理流程图》。在硚口区政务服务中心一楼大厅设置政务公开体验专区，专区内配备电脑、打印机、桌椅、自助查询等设备，提供政府公报、办事指南汇编、基层领域政务公开目录汇编。制定《硚口区政府非税收入征收管理系统缴费流程》。</w:t>
      </w:r>
    </w:p>
    <w:p w14:paraId="150FC5E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（三）切实加强政府信息公开平台建设</w:t>
      </w:r>
    </w:p>
    <w:p w14:paraId="29B326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 xml:space="preserve">1、分级分类、利企便民，推进政府网站优质规范发展。紧紧围绕“分级分类、问题导向、利企便民、开放创新、集约节约”的政府网站建设基本原则，全面优化政府网站栏目设置。2021年9月22日，硚口区门户网站全面改版，共上线534个栏目。     </w:t>
      </w:r>
    </w:p>
    <w:p w14:paraId="00DE09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2、整体协同、响应迅速的政务新媒体矩阵体系建设。目前，全区纳入监管的政务新媒体账号有16个，已注销关停新媒体账号13个，各单位严格按照至少两周更新一次的频率进行更新。</w:t>
      </w:r>
    </w:p>
    <w:p w14:paraId="3DD7F71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（四）信息管理方面</w:t>
      </w:r>
    </w:p>
    <w:p w14:paraId="06FAC9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楷体" w:hAnsi="楷体" w:eastAsia="楷体" w:cs="楷体"/>
          <w:sz w:val="32"/>
          <w:szCs w:val="32"/>
          <w:highlight w:val="none"/>
          <w:lang w:val="en-US" w:eastAsia="zh-CN"/>
        </w:rPr>
      </w:pPr>
      <w:r>
        <w:rPr>
          <w:rFonts w:hint="eastAsia" w:ascii="仿宋" w:hAnsi="仿宋" w:eastAsia="仿宋" w:cs="仿宋"/>
          <w:kern w:val="2"/>
          <w:sz w:val="32"/>
          <w:szCs w:val="32"/>
          <w:highlight w:val="none"/>
          <w:lang w:val="en-US" w:eastAsia="zh-CN"/>
        </w:rPr>
        <w:t>积极争取省、市支持，实现区级网站与省政务服务网信息资源共享，指导各街道、各部门开展网站规范化、标准化建设；在区政府网站“信息公开”中开辟专栏，集中发布规范性文件，并对废止文件进行定期清理。</w:t>
      </w:r>
    </w:p>
    <w:p w14:paraId="6E998354">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监督保障情况</w:t>
      </w:r>
    </w:p>
    <w:p w14:paraId="3EC4FE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一是加强对政府信息公开工作的日常指导和监督检查。每月对区政府门户网站进行检查并要求相关责任单位对照整改。专人定期对全区政府信息公开工作及栏目更新情况进行检查，通过“国务院我为政府网站找错”栏目，收集群众对门户网站发现的错误信息。全年通过公文交换共向各个单位发布信息更新、问题整改、栏目设置、检查结果等文件49个，有效保证了栏目的发布质量。</w:t>
      </w:r>
    </w:p>
    <w:p w14:paraId="74617B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二是加强业务培训。组织区政府各部门、各直属机构和各街道对信息公开工作专题进行培训。组织各单位参加“2021年政府信息公开工作年度报告编写培训会”，全区44家单位在硚口区门户网站上发布了2021年度政府信息公开工作年度报告。</w:t>
      </w:r>
    </w:p>
    <w:p w14:paraId="3A2106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b w:val="0"/>
          <w:i w:val="0"/>
          <w:caps w:val="0"/>
          <w:color w:val="auto"/>
          <w:spacing w:val="8"/>
          <w:kern w:val="2"/>
          <w:sz w:val="32"/>
          <w:szCs w:val="32"/>
          <w:highlight w:val="none"/>
          <w:shd w:val="clear" w:color="auto" w:fill="FFFFFF"/>
          <w:lang w:val="en-US" w:eastAsia="zh-CN" w:bidi="ar-SA"/>
        </w:rPr>
      </w:pPr>
      <w:r>
        <w:rPr>
          <w:rFonts w:hint="eastAsia" w:ascii="黑体" w:hAnsi="黑体" w:eastAsia="黑体" w:cs="黑体"/>
          <w:b w:val="0"/>
          <w:bCs w:val="0"/>
          <w:color w:val="333333"/>
          <w:sz w:val="32"/>
          <w:szCs w:val="32"/>
          <w:highlight w:val="none"/>
        </w:rPr>
        <w:t>二、主动公开政府信息情况</w:t>
      </w:r>
    </w:p>
    <w:p w14:paraId="1F5EE8F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2021年，在区委区政府的领导和相关部门的大力支持下，硚口区进一步推进“高效办成一件事”改革，深化“五减五通”，加强重点领域改革，提升政务服务质量，拓宽便民服务广度和深度，企业群众满意度和获得感不断增强。硚口区成功创建为全省商事登记确认制、大力推进“一事联办”2项改革先行试点区，国家、省、市媒体多次报道我区高效办成一件事、智能审批、优质服务等典型事例。《硚口区聚力“五个升级”推动“高效办成一件事”》经验做法在省改革简报刊发布。</w:t>
      </w:r>
    </w:p>
    <w:p w14:paraId="47792F3B">
      <w:pPr>
        <w:keepLines w:val="0"/>
        <w:pageBreakBefore w:val="0"/>
        <w:numPr>
          <w:ilvl w:val="0"/>
          <w:numId w:val="0"/>
        </w:numPr>
        <w:kinsoku/>
        <w:overflowPunct/>
        <w:autoSpaceDE/>
        <w:autoSpaceDN/>
        <w:bidi w:val="0"/>
        <w:spacing w:line="560" w:lineRule="exact"/>
        <w:ind w:firstLine="672" w:firstLineChars="200"/>
        <w:jc w:val="both"/>
        <w:textAlignment w:val="auto"/>
        <w:rPr>
          <w:rFonts w:hint="eastAsia" w:ascii="楷体" w:hAnsi="楷体" w:eastAsia="楷体" w:cs="楷体"/>
          <w:b w:val="0"/>
          <w:i w:val="0"/>
          <w:caps w:val="0"/>
          <w:color w:val="auto"/>
          <w:spacing w:val="8"/>
          <w:kern w:val="2"/>
          <w:sz w:val="32"/>
          <w:szCs w:val="32"/>
          <w:highlight w:val="none"/>
          <w:shd w:val="clear" w:color="auto" w:fill="FFFFFF"/>
          <w:lang w:val="en-US" w:eastAsia="zh-CN" w:bidi="ar-SA"/>
        </w:rPr>
      </w:pPr>
      <w:r>
        <w:rPr>
          <w:rFonts w:hint="eastAsia" w:ascii="楷体" w:hAnsi="楷体" w:eastAsia="楷体" w:cs="楷体"/>
          <w:b w:val="0"/>
          <w:i w:val="0"/>
          <w:caps w:val="0"/>
          <w:color w:val="auto"/>
          <w:spacing w:val="8"/>
          <w:kern w:val="2"/>
          <w:sz w:val="32"/>
          <w:szCs w:val="32"/>
          <w:highlight w:val="none"/>
          <w:shd w:val="clear" w:color="auto" w:fill="FFFFFF"/>
          <w:lang w:val="en-US" w:eastAsia="zh-CN" w:bidi="ar-SA"/>
        </w:rPr>
        <w:t>（一）围绕法治政府建设着力推进公开</w:t>
      </w:r>
    </w:p>
    <w:p w14:paraId="0ED97F4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政府法治建设深入推进，预算管理、审计监督不断加强。硚口区政府门户网站荣获“2021年度中国政务网站领先奖”，连续6年蝉联此殊荣，连续4年位列全国计划单列副省级城市区县第一名。加大各类证明事项清理减并力度，对确需保留的证明事项实行清单管理并向社会公开。 报告期内，区、街道、社区三级共计8535项政务服务事项在政务服务网上发布，提供在线查询、在线办理、服务评价等服务，其中8316项政务服务事项开通在线办理。区、街道、社区三级事项平均可网办率达到97.4%。通过推行“一网通办”，电子证照归集率达100%。做好“互联网+监管”平台事项认领录入工作。截止目前，全区已在湖北省“互联网+监管”平台认领监管事项611项，录入监管行为数据35977条。以行政法规、规章、规范性文件为重点，加强政务信息管理。各部门按照“放管服”改革要求及时立改废，集中统一对外公开并动态更新。逐步整理形成本级政府和本系统制度文件汇编并集中统一对外公开，服务国家治理体系和治理能力现代化。2021年，全区共发布1件涉及公民、法人和其他组织权利义务，具有普遍约束力，在一定期限内反复适用的规范性文件。</w:t>
      </w:r>
    </w:p>
    <w:p w14:paraId="3C24564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（二）围绕高效办成一件事推进</w:t>
      </w:r>
      <w:r>
        <w:rPr>
          <w:rFonts w:hint="eastAsia" w:ascii="楷体" w:hAnsi="楷体" w:eastAsia="楷体" w:cs="楷体"/>
          <w:b w:val="0"/>
          <w:i w:val="0"/>
          <w:caps w:val="0"/>
          <w:color w:val="auto"/>
          <w:spacing w:val="8"/>
          <w:kern w:val="2"/>
          <w:sz w:val="32"/>
          <w:szCs w:val="32"/>
          <w:highlight w:val="none"/>
          <w:shd w:val="clear" w:color="auto" w:fill="FFFFFF"/>
          <w:lang w:val="en-US" w:eastAsia="zh-CN" w:bidi="ar-SA"/>
        </w:rPr>
        <w:t>公开</w:t>
      </w:r>
    </w:p>
    <w:p w14:paraId="2DCBBFE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一是创新审批方式，迈出顶层设计“最先一公里”。筛选出企业群众需求大、涉及面广的高频主题，在全市率先形成 “一事联办”主题112项（含硚口区特色主题12项），覆盖涉企、民生、不动产、工程项目等全部领域，线下和线上全年累计办件量超18万件。颁发全市首张人力资源服务行业综合许可证，在全市率先将政务服务“一业一证”改革延伸至16个行业。区、街道、社区三级全面落实政务服务事项“一窗通办”，聚力流程优化、互联互通、信息共享和办事体验，建成了市、区、街道三级联动的24小时自助政务服务体系，提高政务服务效能。进一步提高“跨域通办”事项数量，2021年在北京市、广州市、东莞市、佛山市、江门市、惠州市、海口市、湛江市、黄冈市、孝感市、鄂州市等11个城市实现跨域通办，事项办件量达652件。在区级政务大厅开设“异地跨市通办”窗口，组织民政、医保、社保、交通、自然规划及窗口工作人员培训119人次。上线武汉市内服务便民服务事项306项、审批事项60项，2021年实现办件79880件。实现政务服务事项由“一次办”向“马上办”、“马上办”向“网上办”、“网上办”向“不用办”推进。全区1393项政务服务事项中“马上办”1172项，占比84.2%；“网上办”1337项，占比96.05%；面向自然人提供现场办理事项“就近办”事项616项，占比78.7％；“一次办”1393项，占比100%。</w:t>
      </w:r>
    </w:p>
    <w:p w14:paraId="2EA100A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二是创新发展思路，走好个性化服务“中间一公里”。商事登记改革步伐加大。企业开办实现一个工作日办结。企业开办与税务业务联办，企业服务专区业务覆盖企业核名、新办、变更、注销全生命周期。探索以“名称自主申报+住所申报承诺+标准化经营范围”为主要内容的登记确认服务，推动企业设立登记由行政许可向行政确认转变。推出了全市首台个体工商户营业执照智能审批机和全市首台企业智能审批机，实现申报材料免提交和营业执照办理“510”模式，即“5分钟填报信息、1分钟出营业执照、0费用”。市场主体存量首次突破10万户，企业类市场主体达到3.4万户。</w:t>
      </w:r>
    </w:p>
    <w:p w14:paraId="1B985C5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工程建设项目审批改革持续深化。从立项到施工许可，不断精简审批环节、精简申请材料、缩短全流程办理时间。“建筑工程施工许可”审批实现立等可取。告知承诺制办理流程进一步完善。按照“承诺可开工”的要求，对区内符合条件的项目开展前期各项工作。建立硚口区联合验收办事标准和标准化工作机制，优化工程建设项目联合验收等“一事联办”清单。构建重点项目“绿色通道”，提前介入服务，减少企业跑动次数，提高项目落地效率。</w:t>
      </w:r>
    </w:p>
    <w:p w14:paraId="0A5E39A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三是创新服务理念，跑完优化政务服务“最后一公里”。在政务大厅开辟老年人、残障人士等特殊人群办理专区、绿色通道。坚持推行一窗式服务、提升管家服务、优化定制服务、完善智能服务，实行首问责任制，倡导礼仪服务“七步曲”，开展“五优”创建评比，主动为办事群众提供“早晚弹性办、午间延时办、周六接着办”等全天候、常态化延时服务，实现政务服务提档升级。坚持线上为主，线下为辅、预约办理，审批不见面，服务总在线，扎实做好疫情防控常态化管理。在文明创建检查中多次名列全市前茅。</w:t>
      </w:r>
    </w:p>
    <w:p w14:paraId="70F9FF7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（三）围绕优化营商环境推进公开</w:t>
      </w:r>
    </w:p>
    <w:p w14:paraId="2C1F6B1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硚口区进一步推进优化营商环境工作，以高效办成一件事为主线，以作风建设为突破口，切实解决市场主体和群众办事的“堵点”“痛点”“难点”，用心用情用力解决企业困难事、烦心事，切实在办实事、开新局上取得明显成效。坚持以思想破冰引领发展突围，以优化制度供给推进营商环境革命，对标国际国内一流标准，聚焦企业群众办事需求。持续发力，久久为功，努力打造营商环境最优城区，为“十四五”开好局、起好步，开启硚口复兴新征程提供坚实保障。</w:t>
      </w:r>
    </w:p>
    <w:p w14:paraId="22295F9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一是更大力度优化市场环境。深化商事制度改革。深化“证照分离”改革，全面推行市场主体住所申报承诺制，实现“一证准营、一码亮证”；提升企业开办注销便利度，推进企业开办事项“分时、分次”办理，同步免费发放电子营业执照、电子印章，向新开办企业免费发放税务Ukey，简易注销登记公告时间压缩为20天；优化招投标服务。实施“评定分离”改革，全面推行电子招标投标、不见面开标，推进远程异地评标常态化。扩大公共资源交易平台覆盖范围，完善招投标投诉处理机制，严厉打击围标、串标行为；提升政府采购效率和服务效能，强化采购人主体责任，完善政府采购监督管理机制。实施采购意向公开制度，免收投标保证金和履约保证金。持续开展政府采购合同线上融资，缓解中小企业融资困难，切实减轻市场主体资金负担。</w:t>
      </w:r>
    </w:p>
    <w:p w14:paraId="265C923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二是更大力度提升政务服务质效。推进高效办成一件事，加快电子证照共享应用，推进电子签章、电子档案应用。完善政务服务“好差评”机制，实现“好差评”实名差评回访整改率达到100%。深化工程建设项目审批制度全流程、全覆盖改革，进一步提升工程建设项目审批效率和服务水平。优化登记财产服务，深化“三个集成”、“互联网+不动产登记”、“预告登记制度”改革，推进全流程智慧“e网办”，加快推进不动产登记电子证照共享应用。进一步完善服务企业工作机制，推广市场主体服务专员机制，发挥企业直通车作用，实现骨干企业、中小企业全覆盖，更加主动高效地为企业解决问题。</w:t>
      </w:r>
    </w:p>
    <w:p w14:paraId="0EE2AB7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三是更大力度保障信用法治。实行“双随机、一公开”监管全覆盖，推行联合抽查标准化和常态化，扩大联合抽查工作覆盖面。推进“互联网+监管”系统，加快信用体系建设，推动信用信息的广泛应用；加强市场主体司法保护和服务，审慎适用强制措施，为中小投资者提供“一站式”、低成本、多渠道维权救济服务。推进法律服务进园区、进企业；完善办理破产联动制度，深入推进破产工作府院联动，采取有效措施避免引发区域性风险和群体性事件；多元化解矛盾纠纷，加强新业态、新模式的知识产权保护。</w:t>
      </w:r>
    </w:p>
    <w:p w14:paraId="6FE6446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四是更大力度支持企业创新创业。切实减轻企业负担，全面落实减税降费、惠企利企政策，首次挂牌企业的奖励政策，实现有融资需求企业涉税信息“授权即达”；激发创新创业活力，加快建设国家双创示范基地和省级可持续发展实验区。充分发挥中国技术交易所医疗技术中心平台作用，挖掘同济医学院等高校院所资源，加快推进一批重点科技成果落地转化，依托“两用技术”、高投创慧、“D+M”等特色园区，引进一批“专精特新”企业；武汉恒隆广场、云尚国际时尚中心、新世界K11购物艺术中心等重大产业项目开业运营，斯泰兰蒂斯、蚂蚁科技、复星商社等一批世界500强企业纷纷落地，218家首店落户硚口。葛洲坝集团、武汉工贸等5家企业进入武汉企业100强。税收过亿元、过千万元企业分别达到21家、100家，亿元楼宇达到5栋。市场主体突破10万户、企业达到3.4万家。“四上”企业从548家增长到620家。高新技术企业达到190家，完成“个改企”2135家；促进劳动关系和谐稳定。办好武汉大学生“互联网+”创新创业项目大赛，加快推进硚口青年创新创业中心建设，留下大学生1.53万人；进一步扩大对外开放。举办汉正街时尚论坛等展会活动，争取市内免税店布局，提升硚口开放度、影响力。提高外资引进和利用水平。围绕第四届进博会、广交会、华创会、中国</w:t>
      </w:r>
      <w:bookmarkStart w:id="0" w:name="_GoBack"/>
      <w:bookmarkEnd w:id="0"/>
      <w:r>
        <w:rPr>
          <w:rFonts w:hint="eastAsia" w:ascii="仿宋" w:hAnsi="仿宋" w:eastAsia="仿宋" w:cs="仿宋"/>
          <w:kern w:val="0"/>
          <w:sz w:val="32"/>
          <w:szCs w:val="32"/>
          <w:highlight w:val="none"/>
          <w:lang w:val="en-US" w:eastAsia="zh-CN"/>
        </w:rPr>
        <w:t>台湾周等平台，加快推进跨境电商高质量发展，加快跨境电商示范建设。支持葛洲坝、远大医药等企业拓展国际业务、开展海外并购，推动对外承包工程发展向产业链高端延伸。</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82"/>
        <w:gridCol w:w="2282"/>
        <w:gridCol w:w="2282"/>
        <w:gridCol w:w="2283"/>
      </w:tblGrid>
      <w:tr w14:paraId="7FA1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5000" w:type="pct"/>
            <w:gridSpan w:val="4"/>
            <w:shd w:val="clear" w:color="auto" w:fill="C6D9F1"/>
            <w:tcMar>
              <w:left w:w="57" w:type="dxa"/>
              <w:right w:w="57" w:type="dxa"/>
            </w:tcMar>
            <w:vAlign w:val="center"/>
          </w:tcPr>
          <w:p w14:paraId="33B45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第二十条第（一）项</w:t>
            </w:r>
          </w:p>
        </w:tc>
      </w:tr>
      <w:tr w14:paraId="294D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12F81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信息内容</w:t>
            </w:r>
          </w:p>
        </w:tc>
        <w:tc>
          <w:tcPr>
            <w:tcW w:w="1250" w:type="pct"/>
            <w:shd w:val="clear" w:color="auto" w:fill="auto"/>
            <w:tcMar>
              <w:left w:w="57" w:type="dxa"/>
              <w:right w:w="57" w:type="dxa"/>
            </w:tcMar>
            <w:vAlign w:val="center"/>
          </w:tcPr>
          <w:p w14:paraId="015CD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本年</w:t>
            </w:r>
            <w:r>
              <w:rPr>
                <w:rFonts w:hint="eastAsia" w:ascii="宋体" w:hAnsi="宋体" w:eastAsia="宋体" w:cs="宋体"/>
                <w:b w:val="0"/>
                <w:bCs w:val="0"/>
                <w:color w:val="333333"/>
                <w:kern w:val="0"/>
                <w:sz w:val="21"/>
                <w:szCs w:val="21"/>
                <w:highlight w:val="none"/>
                <w:lang w:val="en-US" w:eastAsia="zh-CN" w:bidi="ar"/>
              </w:rPr>
              <w:t>制发件数</w:t>
            </w:r>
          </w:p>
        </w:tc>
        <w:tc>
          <w:tcPr>
            <w:tcW w:w="1250" w:type="pct"/>
            <w:shd w:val="clear" w:color="auto" w:fill="auto"/>
            <w:tcMar>
              <w:left w:w="57" w:type="dxa"/>
              <w:right w:w="57" w:type="dxa"/>
            </w:tcMar>
            <w:vAlign w:val="center"/>
          </w:tcPr>
          <w:p w14:paraId="7BC25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本年废止件数</w:t>
            </w:r>
          </w:p>
        </w:tc>
        <w:tc>
          <w:tcPr>
            <w:tcW w:w="1250" w:type="pct"/>
            <w:shd w:val="clear" w:color="auto" w:fill="auto"/>
            <w:tcMar>
              <w:left w:w="57" w:type="dxa"/>
              <w:right w:w="57" w:type="dxa"/>
            </w:tcMar>
            <w:vAlign w:val="center"/>
          </w:tcPr>
          <w:p w14:paraId="5CDB5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现行有效件</w:t>
            </w:r>
            <w:r>
              <w:rPr>
                <w:rFonts w:hint="eastAsia" w:ascii="宋体" w:hAnsi="宋体" w:eastAsia="宋体" w:cs="宋体"/>
                <w:b w:val="0"/>
                <w:bCs w:val="0"/>
                <w:color w:val="333333"/>
                <w:kern w:val="0"/>
                <w:sz w:val="21"/>
                <w:szCs w:val="21"/>
                <w:highlight w:val="none"/>
                <w:lang w:val="en-US" w:eastAsia="zh-CN" w:bidi="ar"/>
              </w:rPr>
              <w:t>数</w:t>
            </w:r>
          </w:p>
        </w:tc>
      </w:tr>
      <w:tr w14:paraId="1CF2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667B9A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规章</w:t>
            </w:r>
          </w:p>
        </w:tc>
        <w:tc>
          <w:tcPr>
            <w:tcW w:w="1250" w:type="pct"/>
            <w:shd w:val="clear" w:color="auto" w:fill="auto"/>
            <w:tcMar>
              <w:left w:w="57" w:type="dxa"/>
              <w:right w:w="57" w:type="dxa"/>
            </w:tcMar>
            <w:vAlign w:val="center"/>
          </w:tcPr>
          <w:p w14:paraId="25B2B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0</w:t>
            </w:r>
          </w:p>
        </w:tc>
        <w:tc>
          <w:tcPr>
            <w:tcW w:w="1250" w:type="pct"/>
            <w:shd w:val="clear" w:color="auto" w:fill="auto"/>
            <w:tcMar>
              <w:left w:w="57" w:type="dxa"/>
              <w:right w:w="57" w:type="dxa"/>
            </w:tcMar>
            <w:vAlign w:val="center"/>
          </w:tcPr>
          <w:p w14:paraId="453E8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0</w:t>
            </w:r>
          </w:p>
        </w:tc>
        <w:tc>
          <w:tcPr>
            <w:tcW w:w="1250" w:type="pct"/>
            <w:shd w:val="clear" w:color="auto" w:fill="auto"/>
            <w:tcMar>
              <w:left w:w="57" w:type="dxa"/>
              <w:right w:w="57" w:type="dxa"/>
            </w:tcMar>
            <w:vAlign w:val="center"/>
          </w:tcPr>
          <w:p w14:paraId="1FC67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0</w:t>
            </w:r>
          </w:p>
        </w:tc>
      </w:tr>
      <w:tr w14:paraId="5570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09BF7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行政规范性文件</w:t>
            </w:r>
          </w:p>
        </w:tc>
        <w:tc>
          <w:tcPr>
            <w:tcW w:w="1250" w:type="pct"/>
            <w:shd w:val="clear" w:color="auto" w:fill="auto"/>
            <w:tcMar>
              <w:left w:w="57" w:type="dxa"/>
              <w:right w:w="57" w:type="dxa"/>
            </w:tcMar>
            <w:vAlign w:val="center"/>
          </w:tcPr>
          <w:p w14:paraId="44222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w:t>
            </w:r>
          </w:p>
        </w:tc>
        <w:tc>
          <w:tcPr>
            <w:tcW w:w="1250" w:type="pct"/>
            <w:shd w:val="clear" w:color="auto" w:fill="auto"/>
            <w:tcMar>
              <w:left w:w="57" w:type="dxa"/>
              <w:right w:w="57" w:type="dxa"/>
            </w:tcMar>
            <w:vAlign w:val="center"/>
          </w:tcPr>
          <w:p w14:paraId="616D9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7</w:t>
            </w:r>
          </w:p>
        </w:tc>
        <w:tc>
          <w:tcPr>
            <w:tcW w:w="1250" w:type="pct"/>
            <w:shd w:val="clear" w:color="auto" w:fill="auto"/>
            <w:tcMar>
              <w:left w:w="57" w:type="dxa"/>
              <w:right w:w="57" w:type="dxa"/>
            </w:tcMar>
            <w:vAlign w:val="center"/>
          </w:tcPr>
          <w:p w14:paraId="5A6683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5</w:t>
            </w:r>
          </w:p>
        </w:tc>
      </w:tr>
      <w:tr w14:paraId="3428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5000" w:type="pct"/>
            <w:gridSpan w:val="4"/>
            <w:shd w:val="clear" w:color="auto" w:fill="C6D9F1"/>
            <w:tcMar>
              <w:left w:w="57" w:type="dxa"/>
              <w:right w:w="57" w:type="dxa"/>
            </w:tcMar>
            <w:vAlign w:val="center"/>
          </w:tcPr>
          <w:p w14:paraId="5DB1F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第二十条第（五）项</w:t>
            </w:r>
          </w:p>
        </w:tc>
      </w:tr>
      <w:tr w14:paraId="3E24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7AD55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信息内容</w:t>
            </w:r>
          </w:p>
        </w:tc>
        <w:tc>
          <w:tcPr>
            <w:tcW w:w="3750" w:type="pct"/>
            <w:gridSpan w:val="3"/>
            <w:shd w:val="clear" w:color="auto" w:fill="auto"/>
            <w:tcMar>
              <w:left w:w="57" w:type="dxa"/>
              <w:right w:w="57" w:type="dxa"/>
            </w:tcMar>
            <w:vAlign w:val="center"/>
          </w:tcPr>
          <w:p w14:paraId="55514B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本年处理决定数量</w:t>
            </w:r>
          </w:p>
        </w:tc>
      </w:tr>
      <w:tr w14:paraId="754F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019608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行政许可</w:t>
            </w:r>
          </w:p>
        </w:tc>
        <w:tc>
          <w:tcPr>
            <w:tcW w:w="3750" w:type="pct"/>
            <w:gridSpan w:val="3"/>
            <w:shd w:val="clear" w:color="auto" w:fill="auto"/>
            <w:tcMar>
              <w:left w:w="57" w:type="dxa"/>
              <w:right w:w="57" w:type="dxa"/>
            </w:tcMar>
            <w:vAlign w:val="center"/>
          </w:tcPr>
          <w:p w14:paraId="4BFBB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b w:val="0"/>
                <w:bCs w:val="0"/>
                <w:sz w:val="21"/>
                <w:szCs w:val="21"/>
                <w:highlight w:val="none"/>
                <w:lang w:val="en-US"/>
              </w:rPr>
            </w:pPr>
            <w:r>
              <w:rPr>
                <w:rFonts w:hint="eastAsia" w:ascii="宋体" w:hAnsi="宋体" w:eastAsia="宋体" w:cs="宋体"/>
                <w:b w:val="0"/>
                <w:bCs w:val="0"/>
                <w:color w:val="000000"/>
                <w:kern w:val="0"/>
                <w:sz w:val="21"/>
                <w:szCs w:val="21"/>
                <w:highlight w:val="none"/>
                <w:lang w:val="en-US" w:eastAsia="zh-CN" w:bidi="ar"/>
              </w:rPr>
              <w:t>39125</w:t>
            </w:r>
          </w:p>
        </w:tc>
      </w:tr>
      <w:tr w14:paraId="0A4F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5000" w:type="pct"/>
            <w:gridSpan w:val="4"/>
            <w:shd w:val="clear" w:color="auto" w:fill="C6D9F1"/>
            <w:tcMar>
              <w:left w:w="57" w:type="dxa"/>
              <w:right w:w="57" w:type="dxa"/>
            </w:tcMar>
            <w:vAlign w:val="center"/>
          </w:tcPr>
          <w:p w14:paraId="30EA6E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第二十条第（六）项</w:t>
            </w:r>
          </w:p>
        </w:tc>
      </w:tr>
      <w:tr w14:paraId="349E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3EE55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leftChars="0" w:right="0" w:rightChars="0" w:firstLine="0" w:firstLineChars="0"/>
              <w:jc w:val="center"/>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信息内容</w:t>
            </w:r>
          </w:p>
        </w:tc>
        <w:tc>
          <w:tcPr>
            <w:tcW w:w="3750" w:type="pct"/>
            <w:gridSpan w:val="3"/>
            <w:shd w:val="clear" w:color="auto" w:fill="auto"/>
            <w:tcMar>
              <w:left w:w="57" w:type="dxa"/>
              <w:right w:w="57" w:type="dxa"/>
            </w:tcMar>
            <w:vAlign w:val="center"/>
          </w:tcPr>
          <w:p w14:paraId="79F46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leftChars="0" w:right="0" w:rightChars="0" w:firstLine="0" w:firstLineChars="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本年处理决定数量</w:t>
            </w:r>
          </w:p>
        </w:tc>
      </w:tr>
      <w:tr w14:paraId="7009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5B074A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行政处罚</w:t>
            </w:r>
          </w:p>
        </w:tc>
        <w:tc>
          <w:tcPr>
            <w:tcW w:w="3750" w:type="pct"/>
            <w:gridSpan w:val="3"/>
            <w:shd w:val="clear" w:color="auto" w:fill="auto"/>
            <w:tcMar>
              <w:left w:w="57" w:type="dxa"/>
              <w:right w:w="57" w:type="dxa"/>
            </w:tcMar>
            <w:vAlign w:val="center"/>
          </w:tcPr>
          <w:p w14:paraId="7D56B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b w:val="0"/>
                <w:bCs w:val="0"/>
                <w:sz w:val="21"/>
                <w:szCs w:val="21"/>
                <w:highlight w:val="none"/>
                <w:lang w:val="en-US"/>
              </w:rPr>
            </w:pPr>
            <w:r>
              <w:rPr>
                <w:rFonts w:hint="eastAsia" w:ascii="宋体" w:hAnsi="宋体" w:cs="宋体"/>
                <w:b w:val="0"/>
                <w:bCs w:val="0"/>
                <w:color w:val="000000"/>
                <w:kern w:val="0"/>
                <w:sz w:val="21"/>
                <w:szCs w:val="21"/>
                <w:highlight w:val="none"/>
                <w:lang w:val="en-US" w:eastAsia="zh-CN" w:bidi="ar"/>
              </w:rPr>
              <w:t>2567</w:t>
            </w:r>
          </w:p>
        </w:tc>
      </w:tr>
      <w:tr w14:paraId="69E4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17A20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行政强制</w:t>
            </w:r>
          </w:p>
        </w:tc>
        <w:tc>
          <w:tcPr>
            <w:tcW w:w="3750" w:type="pct"/>
            <w:gridSpan w:val="3"/>
            <w:shd w:val="clear" w:color="auto" w:fill="auto"/>
            <w:tcMar>
              <w:left w:w="57" w:type="dxa"/>
              <w:right w:w="57" w:type="dxa"/>
            </w:tcMar>
            <w:vAlign w:val="center"/>
          </w:tcPr>
          <w:p w14:paraId="74D0A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b w:val="0"/>
                <w:bCs w:val="0"/>
                <w:sz w:val="21"/>
                <w:szCs w:val="21"/>
                <w:highlight w:val="none"/>
                <w:lang w:val="en-US"/>
              </w:rPr>
            </w:pPr>
            <w:r>
              <w:rPr>
                <w:rFonts w:hint="eastAsia" w:ascii="宋体" w:hAnsi="宋体" w:cs="宋体"/>
                <w:b w:val="0"/>
                <w:bCs w:val="0"/>
                <w:color w:val="000000"/>
                <w:kern w:val="0"/>
                <w:sz w:val="21"/>
                <w:szCs w:val="21"/>
                <w:highlight w:val="none"/>
                <w:lang w:val="en-US" w:eastAsia="zh-CN" w:bidi="ar"/>
              </w:rPr>
              <w:t>164</w:t>
            </w:r>
          </w:p>
        </w:tc>
      </w:tr>
      <w:tr w14:paraId="46AF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5000" w:type="pct"/>
            <w:gridSpan w:val="4"/>
            <w:shd w:val="clear" w:color="auto" w:fill="C6D9F1"/>
            <w:tcMar>
              <w:left w:w="57" w:type="dxa"/>
              <w:right w:w="57" w:type="dxa"/>
            </w:tcMar>
            <w:vAlign w:val="center"/>
          </w:tcPr>
          <w:p w14:paraId="2293F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第二十条第（八）项</w:t>
            </w:r>
          </w:p>
        </w:tc>
      </w:tr>
      <w:tr w14:paraId="5BAD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18FB5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信息内容</w:t>
            </w:r>
          </w:p>
        </w:tc>
        <w:tc>
          <w:tcPr>
            <w:tcW w:w="3750" w:type="pct"/>
            <w:gridSpan w:val="3"/>
            <w:shd w:val="clear" w:color="auto" w:fill="auto"/>
            <w:tcMar>
              <w:left w:w="57" w:type="dxa"/>
              <w:right w:w="57" w:type="dxa"/>
            </w:tcMar>
            <w:vAlign w:val="center"/>
          </w:tcPr>
          <w:p w14:paraId="7A92CD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本年收费金额（单位：万元）</w:t>
            </w:r>
          </w:p>
        </w:tc>
      </w:tr>
      <w:tr w14:paraId="3401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41281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行政事业性收费</w:t>
            </w:r>
          </w:p>
        </w:tc>
        <w:tc>
          <w:tcPr>
            <w:tcW w:w="3750" w:type="pct"/>
            <w:gridSpan w:val="3"/>
            <w:shd w:val="clear" w:color="auto" w:fill="auto"/>
            <w:tcMar>
              <w:left w:w="57" w:type="dxa"/>
              <w:right w:w="57" w:type="dxa"/>
            </w:tcMar>
            <w:vAlign w:val="center"/>
          </w:tcPr>
          <w:p w14:paraId="0B0C7055">
            <w:pPr>
              <w:keepLines w:val="0"/>
              <w:pageBreakBefore w:val="0"/>
              <w:kinsoku/>
              <w:overflowPunct/>
              <w:bidi w:val="0"/>
              <w:spacing w:line="560" w:lineRule="exact"/>
              <w:jc w:val="center"/>
              <w:textAlignment w:val="auto"/>
              <w:rPr>
                <w:rFonts w:hint="default" w:ascii="宋体" w:hAnsi="宋体" w:eastAsia="宋体" w:cs="宋体"/>
                <w:b w:val="0"/>
                <w:bCs w:val="0"/>
                <w:color w:val="333333"/>
                <w:sz w:val="21"/>
                <w:szCs w:val="21"/>
                <w:highlight w:val="none"/>
                <w:lang w:val="en-US" w:eastAsia="zh-CN"/>
              </w:rPr>
            </w:pPr>
            <w:r>
              <w:rPr>
                <w:rFonts w:hint="eastAsia" w:ascii="宋体" w:hAnsi="宋体" w:cs="宋体"/>
                <w:b w:val="0"/>
                <w:bCs w:val="0"/>
                <w:color w:val="333333"/>
                <w:sz w:val="21"/>
                <w:szCs w:val="21"/>
                <w:highlight w:val="none"/>
                <w:lang w:val="en-US" w:eastAsia="zh-CN"/>
              </w:rPr>
              <w:t>590.115865</w:t>
            </w:r>
          </w:p>
        </w:tc>
      </w:tr>
    </w:tbl>
    <w:p w14:paraId="449EC6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收到和处理政府信息公开申请情况</w:t>
      </w:r>
    </w:p>
    <w:p w14:paraId="211BDC1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全区2021年共收到依申请公开办件147件，其中2020年结转3件，结转至2022年8件。</w:t>
      </w:r>
    </w:p>
    <w:tbl>
      <w:tblPr>
        <w:tblStyle w:val="7"/>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426"/>
        <w:gridCol w:w="795"/>
        <w:gridCol w:w="2797"/>
        <w:gridCol w:w="558"/>
        <w:gridCol w:w="558"/>
        <w:gridCol w:w="558"/>
        <w:gridCol w:w="558"/>
        <w:gridCol w:w="566"/>
        <w:gridCol w:w="644"/>
        <w:gridCol w:w="634"/>
      </w:tblGrid>
      <w:tr w14:paraId="45E4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vMerge w:val="restart"/>
            <w:noWrap w:val="0"/>
            <w:tcMar>
              <w:left w:w="108" w:type="dxa"/>
              <w:right w:w="108" w:type="dxa"/>
            </w:tcMar>
            <w:vAlign w:val="center"/>
          </w:tcPr>
          <w:p w14:paraId="78301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highlight w:val="none"/>
              </w:rPr>
            </w:pPr>
            <w:r>
              <w:rPr>
                <w:rFonts w:hint="eastAsia" w:ascii="楷体" w:hAnsi="楷体" w:eastAsia="楷体" w:cs="楷体"/>
                <w:color w:val="333333"/>
                <w:kern w:val="0"/>
                <w:sz w:val="20"/>
                <w:szCs w:val="20"/>
                <w:highlight w:val="none"/>
                <w:lang w:val="en-US" w:eastAsia="zh-CN" w:bidi="ar"/>
              </w:rPr>
              <w:t>（本列数据的勾稽关系为：第一项加第二项之和，等于第三项加第四项之和）</w:t>
            </w:r>
          </w:p>
        </w:tc>
        <w:tc>
          <w:tcPr>
            <w:tcW w:w="2240" w:type="pct"/>
            <w:gridSpan w:val="7"/>
            <w:noWrap w:val="0"/>
            <w:vAlign w:val="center"/>
          </w:tcPr>
          <w:p w14:paraId="7F434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申请人情况</w:t>
            </w:r>
          </w:p>
        </w:tc>
      </w:tr>
      <w:tr w14:paraId="73EA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vMerge w:val="continue"/>
            <w:noWrap w:val="0"/>
            <w:tcMar>
              <w:left w:w="108" w:type="dxa"/>
              <w:right w:w="108" w:type="dxa"/>
            </w:tcMar>
            <w:vAlign w:val="center"/>
          </w:tcPr>
          <w:p w14:paraId="558CA7B2">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07" w:type="pct"/>
            <w:vMerge w:val="restart"/>
            <w:noWrap w:val="0"/>
            <w:vAlign w:val="center"/>
          </w:tcPr>
          <w:p w14:paraId="292F2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自然人</w:t>
            </w:r>
          </w:p>
        </w:tc>
        <w:tc>
          <w:tcPr>
            <w:tcW w:w="1586" w:type="pct"/>
            <w:gridSpan w:val="5"/>
            <w:noWrap w:val="0"/>
            <w:vAlign w:val="center"/>
          </w:tcPr>
          <w:p w14:paraId="431CF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法人或其他组织</w:t>
            </w:r>
          </w:p>
        </w:tc>
        <w:tc>
          <w:tcPr>
            <w:tcW w:w="346" w:type="pct"/>
            <w:vMerge w:val="restart"/>
            <w:noWrap w:val="0"/>
            <w:vAlign w:val="center"/>
          </w:tcPr>
          <w:p w14:paraId="732FF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总计</w:t>
            </w:r>
          </w:p>
        </w:tc>
      </w:tr>
      <w:tr w14:paraId="1999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vMerge w:val="continue"/>
            <w:noWrap w:val="0"/>
            <w:tcMar>
              <w:left w:w="108" w:type="dxa"/>
              <w:right w:w="108" w:type="dxa"/>
            </w:tcMar>
            <w:vAlign w:val="center"/>
          </w:tcPr>
          <w:p w14:paraId="7EDC42CF">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07" w:type="pct"/>
            <w:vMerge w:val="continue"/>
            <w:noWrap w:val="0"/>
            <w:vAlign w:val="center"/>
          </w:tcPr>
          <w:p w14:paraId="0988F9B7">
            <w:pPr>
              <w:keepLines w:val="0"/>
              <w:pageBreakBefore w:val="0"/>
              <w:kinsoku/>
              <w:overflowPunct/>
              <w:bidi w:val="0"/>
              <w:spacing w:line="240" w:lineRule="auto"/>
              <w:jc w:val="center"/>
              <w:textAlignment w:val="auto"/>
              <w:rPr>
                <w:rFonts w:hint="eastAsia" w:ascii="宋体" w:hAnsi="宋体" w:eastAsia="宋体" w:cs="宋体"/>
                <w:color w:val="333333"/>
                <w:sz w:val="21"/>
                <w:szCs w:val="21"/>
                <w:highlight w:val="none"/>
              </w:rPr>
            </w:pPr>
          </w:p>
        </w:tc>
        <w:tc>
          <w:tcPr>
            <w:tcW w:w="307" w:type="pct"/>
            <w:noWrap w:val="0"/>
            <w:vAlign w:val="center"/>
          </w:tcPr>
          <w:p w14:paraId="11CCE7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商业</w:t>
            </w:r>
          </w:p>
          <w:p w14:paraId="2142D5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企业</w:t>
            </w:r>
          </w:p>
        </w:tc>
        <w:tc>
          <w:tcPr>
            <w:tcW w:w="307" w:type="pct"/>
            <w:noWrap w:val="0"/>
            <w:vAlign w:val="center"/>
          </w:tcPr>
          <w:p w14:paraId="13642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科研</w:t>
            </w:r>
          </w:p>
          <w:p w14:paraId="71884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机构</w:t>
            </w:r>
          </w:p>
        </w:tc>
        <w:tc>
          <w:tcPr>
            <w:tcW w:w="307" w:type="pct"/>
            <w:noWrap w:val="0"/>
            <w:vAlign w:val="center"/>
          </w:tcPr>
          <w:p w14:paraId="51592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社会公益组织</w:t>
            </w:r>
          </w:p>
        </w:tc>
        <w:tc>
          <w:tcPr>
            <w:tcW w:w="311" w:type="pct"/>
            <w:noWrap w:val="0"/>
            <w:vAlign w:val="center"/>
          </w:tcPr>
          <w:p w14:paraId="5DA49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法律服务机构</w:t>
            </w:r>
          </w:p>
        </w:tc>
        <w:tc>
          <w:tcPr>
            <w:tcW w:w="353" w:type="pct"/>
            <w:noWrap w:val="0"/>
            <w:vAlign w:val="center"/>
          </w:tcPr>
          <w:p w14:paraId="6792F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其他</w:t>
            </w:r>
          </w:p>
        </w:tc>
        <w:tc>
          <w:tcPr>
            <w:tcW w:w="346" w:type="pct"/>
            <w:vMerge w:val="continue"/>
            <w:noWrap w:val="0"/>
            <w:vAlign w:val="center"/>
          </w:tcPr>
          <w:p w14:paraId="681DDA54">
            <w:pPr>
              <w:keepLines w:val="0"/>
              <w:pageBreakBefore w:val="0"/>
              <w:kinsoku/>
              <w:overflowPunct/>
              <w:bidi w:val="0"/>
              <w:spacing w:line="240" w:lineRule="auto"/>
              <w:jc w:val="center"/>
              <w:textAlignment w:val="auto"/>
              <w:rPr>
                <w:rFonts w:hint="eastAsia" w:ascii="宋体" w:hAnsi="宋体" w:eastAsia="宋体" w:cs="宋体"/>
                <w:color w:val="333333"/>
                <w:sz w:val="21"/>
                <w:szCs w:val="21"/>
                <w:highlight w:val="none"/>
              </w:rPr>
            </w:pPr>
          </w:p>
        </w:tc>
      </w:tr>
      <w:tr w14:paraId="5E71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noWrap w:val="0"/>
            <w:vAlign w:val="center"/>
          </w:tcPr>
          <w:p w14:paraId="55E7B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一、本年新收政府信息公开申请数量</w:t>
            </w:r>
          </w:p>
        </w:tc>
        <w:tc>
          <w:tcPr>
            <w:tcW w:w="307" w:type="pct"/>
            <w:noWrap w:val="0"/>
            <w:vAlign w:val="center"/>
          </w:tcPr>
          <w:p w14:paraId="654FA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139</w:t>
            </w:r>
          </w:p>
        </w:tc>
        <w:tc>
          <w:tcPr>
            <w:tcW w:w="307" w:type="pct"/>
            <w:noWrap w:val="0"/>
            <w:vAlign w:val="center"/>
          </w:tcPr>
          <w:p w14:paraId="6967F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w:t>
            </w:r>
          </w:p>
        </w:tc>
        <w:tc>
          <w:tcPr>
            <w:tcW w:w="307" w:type="pct"/>
            <w:noWrap w:val="0"/>
            <w:vAlign w:val="center"/>
          </w:tcPr>
          <w:p w14:paraId="56E10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DDC5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84257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3</w:t>
            </w:r>
          </w:p>
        </w:tc>
        <w:tc>
          <w:tcPr>
            <w:tcW w:w="353" w:type="pct"/>
            <w:noWrap w:val="0"/>
            <w:vAlign w:val="center"/>
          </w:tcPr>
          <w:p w14:paraId="058370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772F96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144</w:t>
            </w:r>
          </w:p>
        </w:tc>
      </w:tr>
      <w:tr w14:paraId="29C8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noWrap w:val="0"/>
            <w:vAlign w:val="center"/>
          </w:tcPr>
          <w:p w14:paraId="5EA77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二、上年结转政府信息公开申请数量</w:t>
            </w:r>
          </w:p>
        </w:tc>
        <w:tc>
          <w:tcPr>
            <w:tcW w:w="307" w:type="pct"/>
            <w:noWrap w:val="0"/>
            <w:vAlign w:val="center"/>
          </w:tcPr>
          <w:p w14:paraId="14CD9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3</w:t>
            </w:r>
          </w:p>
        </w:tc>
        <w:tc>
          <w:tcPr>
            <w:tcW w:w="307" w:type="pct"/>
            <w:noWrap w:val="0"/>
            <w:vAlign w:val="center"/>
          </w:tcPr>
          <w:p w14:paraId="0954E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2867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99E3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56E89A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3A74A2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38379E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3</w:t>
            </w:r>
          </w:p>
        </w:tc>
      </w:tr>
      <w:tr w14:paraId="3CAF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restart"/>
            <w:noWrap w:val="0"/>
            <w:vAlign w:val="center"/>
          </w:tcPr>
          <w:p w14:paraId="756D7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三、本年度办理结果</w:t>
            </w:r>
          </w:p>
        </w:tc>
        <w:tc>
          <w:tcPr>
            <w:tcW w:w="1975" w:type="pct"/>
            <w:gridSpan w:val="2"/>
            <w:noWrap w:val="0"/>
            <w:vAlign w:val="center"/>
          </w:tcPr>
          <w:p w14:paraId="283E1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（一）予以公开</w:t>
            </w:r>
          </w:p>
        </w:tc>
        <w:tc>
          <w:tcPr>
            <w:tcW w:w="307" w:type="pct"/>
            <w:noWrap w:val="0"/>
            <w:vAlign w:val="center"/>
          </w:tcPr>
          <w:p w14:paraId="30C19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42</w:t>
            </w:r>
          </w:p>
        </w:tc>
        <w:tc>
          <w:tcPr>
            <w:tcW w:w="307" w:type="pct"/>
            <w:noWrap w:val="0"/>
            <w:vAlign w:val="center"/>
          </w:tcPr>
          <w:p w14:paraId="24B7C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6D1AB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ACEB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3230A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1</w:t>
            </w:r>
          </w:p>
        </w:tc>
        <w:tc>
          <w:tcPr>
            <w:tcW w:w="353" w:type="pct"/>
            <w:noWrap w:val="0"/>
            <w:vAlign w:val="center"/>
          </w:tcPr>
          <w:p w14:paraId="33725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4F96B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43</w:t>
            </w:r>
          </w:p>
        </w:tc>
      </w:tr>
      <w:tr w14:paraId="5DFD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05CEE26D">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975" w:type="pct"/>
            <w:gridSpan w:val="2"/>
            <w:noWrap w:val="0"/>
            <w:vAlign w:val="center"/>
          </w:tcPr>
          <w:p w14:paraId="6876C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（二）部分公开（区分处理的，只计这一情形，不计其他情形）</w:t>
            </w:r>
          </w:p>
        </w:tc>
        <w:tc>
          <w:tcPr>
            <w:tcW w:w="307" w:type="pct"/>
            <w:noWrap w:val="0"/>
            <w:vAlign w:val="center"/>
          </w:tcPr>
          <w:p w14:paraId="05B2B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24</w:t>
            </w:r>
          </w:p>
        </w:tc>
        <w:tc>
          <w:tcPr>
            <w:tcW w:w="307" w:type="pct"/>
            <w:noWrap w:val="0"/>
            <w:vAlign w:val="center"/>
          </w:tcPr>
          <w:p w14:paraId="6DCAF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w:t>
            </w:r>
          </w:p>
        </w:tc>
        <w:tc>
          <w:tcPr>
            <w:tcW w:w="307" w:type="pct"/>
            <w:noWrap w:val="0"/>
            <w:vAlign w:val="center"/>
          </w:tcPr>
          <w:p w14:paraId="281A6E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85753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5C576B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0EEC7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45B53B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26</w:t>
            </w:r>
          </w:p>
        </w:tc>
      </w:tr>
      <w:tr w14:paraId="040F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3039978C">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restart"/>
            <w:noWrap w:val="0"/>
            <w:vAlign w:val="center"/>
          </w:tcPr>
          <w:p w14:paraId="73F147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（三）不予公开</w:t>
            </w:r>
          </w:p>
        </w:tc>
        <w:tc>
          <w:tcPr>
            <w:tcW w:w="1537" w:type="pct"/>
            <w:noWrap w:val="0"/>
            <w:vAlign w:val="top"/>
          </w:tcPr>
          <w:p w14:paraId="0A918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1.属于国家秘密</w:t>
            </w:r>
          </w:p>
        </w:tc>
        <w:tc>
          <w:tcPr>
            <w:tcW w:w="307" w:type="pct"/>
            <w:noWrap w:val="0"/>
            <w:vAlign w:val="center"/>
          </w:tcPr>
          <w:p w14:paraId="128D5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F1DB1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A1B2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D3A9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60E13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31C3D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6F7ADB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r>
      <w:tr w14:paraId="7812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44BD6B8F">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6D4C22CB">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3EEAF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2.其他法律行政法规禁止公开</w:t>
            </w:r>
          </w:p>
        </w:tc>
        <w:tc>
          <w:tcPr>
            <w:tcW w:w="307" w:type="pct"/>
            <w:noWrap w:val="0"/>
            <w:vAlign w:val="center"/>
          </w:tcPr>
          <w:p w14:paraId="475BDA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C7C7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2270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F8A85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431B3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71CC2E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5E105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r>
      <w:tr w14:paraId="3F2F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69A5100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2477345F">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7661FF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3.危及“三安全一稳定”</w:t>
            </w:r>
          </w:p>
        </w:tc>
        <w:tc>
          <w:tcPr>
            <w:tcW w:w="307" w:type="pct"/>
            <w:noWrap w:val="0"/>
            <w:vAlign w:val="center"/>
          </w:tcPr>
          <w:p w14:paraId="1A68B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9017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6C17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E5EEB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26D12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0207A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2D518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r>
      <w:tr w14:paraId="02DC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11750AAE">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69829D77">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7AA2D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4.保护第三方合法权益</w:t>
            </w:r>
          </w:p>
        </w:tc>
        <w:tc>
          <w:tcPr>
            <w:tcW w:w="307" w:type="pct"/>
            <w:noWrap w:val="0"/>
            <w:vAlign w:val="center"/>
          </w:tcPr>
          <w:p w14:paraId="309306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3</w:t>
            </w:r>
          </w:p>
        </w:tc>
        <w:tc>
          <w:tcPr>
            <w:tcW w:w="307" w:type="pct"/>
            <w:noWrap w:val="0"/>
            <w:vAlign w:val="center"/>
          </w:tcPr>
          <w:p w14:paraId="5BEB9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2CAD2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48B1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C5350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77402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2C07E1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3</w:t>
            </w:r>
          </w:p>
        </w:tc>
      </w:tr>
      <w:tr w14:paraId="07C7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05D5AD06">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46E49591">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20FD5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5.属于三类内部事务信息</w:t>
            </w:r>
          </w:p>
        </w:tc>
        <w:tc>
          <w:tcPr>
            <w:tcW w:w="307" w:type="pct"/>
            <w:noWrap w:val="0"/>
            <w:vAlign w:val="center"/>
          </w:tcPr>
          <w:p w14:paraId="7D6CFF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1</w:t>
            </w:r>
          </w:p>
        </w:tc>
        <w:tc>
          <w:tcPr>
            <w:tcW w:w="307" w:type="pct"/>
            <w:noWrap w:val="0"/>
            <w:vAlign w:val="center"/>
          </w:tcPr>
          <w:p w14:paraId="147988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EA9F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9804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F748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3DFF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26F9AA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1</w:t>
            </w:r>
          </w:p>
        </w:tc>
      </w:tr>
      <w:tr w14:paraId="0AE0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5A4CF0D3">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770955E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43EFE1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6.属于四类过程性信息</w:t>
            </w:r>
          </w:p>
        </w:tc>
        <w:tc>
          <w:tcPr>
            <w:tcW w:w="307" w:type="pct"/>
            <w:noWrap w:val="0"/>
            <w:vAlign w:val="center"/>
          </w:tcPr>
          <w:p w14:paraId="0995E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AB0A4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CD71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7C3D4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5646D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02D50F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3FAF2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r>
      <w:tr w14:paraId="7C5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67B5DDCB">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3FA235E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0E3D6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7.属于行政执法案卷</w:t>
            </w:r>
          </w:p>
        </w:tc>
        <w:tc>
          <w:tcPr>
            <w:tcW w:w="307" w:type="pct"/>
            <w:noWrap w:val="0"/>
            <w:vAlign w:val="center"/>
          </w:tcPr>
          <w:p w14:paraId="0A0335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E9FD2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63BB8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53B8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D8C9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3F6CDE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6F2D29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r>
      <w:tr w14:paraId="2594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24B7A1F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0CC7415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43301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8.属于行政查询事项</w:t>
            </w:r>
          </w:p>
        </w:tc>
        <w:tc>
          <w:tcPr>
            <w:tcW w:w="307" w:type="pct"/>
            <w:noWrap w:val="0"/>
            <w:vAlign w:val="center"/>
          </w:tcPr>
          <w:p w14:paraId="3799D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w:t>
            </w:r>
          </w:p>
        </w:tc>
        <w:tc>
          <w:tcPr>
            <w:tcW w:w="307" w:type="pct"/>
            <w:noWrap w:val="0"/>
            <w:vAlign w:val="center"/>
          </w:tcPr>
          <w:p w14:paraId="22D4C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0B98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937E1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701F88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192C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45DE0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w:t>
            </w:r>
          </w:p>
        </w:tc>
      </w:tr>
      <w:tr w14:paraId="7A3E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14F6357A">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restart"/>
            <w:noWrap w:val="0"/>
            <w:vAlign w:val="center"/>
          </w:tcPr>
          <w:p w14:paraId="44A01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（四）无法提供</w:t>
            </w:r>
          </w:p>
        </w:tc>
        <w:tc>
          <w:tcPr>
            <w:tcW w:w="1537" w:type="pct"/>
            <w:noWrap w:val="0"/>
            <w:vAlign w:val="top"/>
          </w:tcPr>
          <w:p w14:paraId="18E487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1.本机关不掌握相关政府信息</w:t>
            </w:r>
          </w:p>
        </w:tc>
        <w:tc>
          <w:tcPr>
            <w:tcW w:w="307" w:type="pct"/>
            <w:noWrap w:val="0"/>
            <w:vAlign w:val="center"/>
          </w:tcPr>
          <w:p w14:paraId="18F41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44</w:t>
            </w:r>
          </w:p>
        </w:tc>
        <w:tc>
          <w:tcPr>
            <w:tcW w:w="307" w:type="pct"/>
            <w:noWrap w:val="0"/>
            <w:vAlign w:val="center"/>
          </w:tcPr>
          <w:p w14:paraId="6E631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6B4B9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40C3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5CC8DC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w:t>
            </w:r>
          </w:p>
        </w:tc>
        <w:tc>
          <w:tcPr>
            <w:tcW w:w="353" w:type="pct"/>
            <w:noWrap w:val="0"/>
            <w:vAlign w:val="center"/>
          </w:tcPr>
          <w:p w14:paraId="382A28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798F9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46</w:t>
            </w:r>
          </w:p>
        </w:tc>
      </w:tr>
      <w:tr w14:paraId="103E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099C3A96">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750E7ACF">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0B14F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2.没有现成信息需要另行制作</w:t>
            </w:r>
          </w:p>
        </w:tc>
        <w:tc>
          <w:tcPr>
            <w:tcW w:w="307" w:type="pct"/>
            <w:noWrap w:val="0"/>
            <w:vAlign w:val="center"/>
          </w:tcPr>
          <w:p w14:paraId="48AD9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c>
          <w:tcPr>
            <w:tcW w:w="307" w:type="pct"/>
            <w:noWrap w:val="0"/>
            <w:vAlign w:val="center"/>
          </w:tcPr>
          <w:p w14:paraId="1536D0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1B8B0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60B0B5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560DE7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B3A1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2C40EB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r>
      <w:tr w14:paraId="0EE6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2695B226">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1EF2B8E1">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11CF41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3.补正后申请内容仍不明确</w:t>
            </w:r>
          </w:p>
        </w:tc>
        <w:tc>
          <w:tcPr>
            <w:tcW w:w="307" w:type="pct"/>
            <w:noWrap w:val="0"/>
            <w:vAlign w:val="center"/>
          </w:tcPr>
          <w:p w14:paraId="537D9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c>
          <w:tcPr>
            <w:tcW w:w="307" w:type="pct"/>
            <w:noWrap w:val="0"/>
            <w:vAlign w:val="center"/>
          </w:tcPr>
          <w:p w14:paraId="6DC34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8E476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15A1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579C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02EBA1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08FDAC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r>
      <w:tr w14:paraId="7BC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33DA76C2">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restart"/>
            <w:noWrap w:val="0"/>
            <w:vAlign w:val="center"/>
          </w:tcPr>
          <w:p w14:paraId="0C763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（五）不予处理</w:t>
            </w:r>
          </w:p>
        </w:tc>
        <w:tc>
          <w:tcPr>
            <w:tcW w:w="1537" w:type="pct"/>
            <w:noWrap w:val="0"/>
            <w:vAlign w:val="top"/>
          </w:tcPr>
          <w:p w14:paraId="35A071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1.信访举报投诉类申请</w:t>
            </w:r>
          </w:p>
        </w:tc>
        <w:tc>
          <w:tcPr>
            <w:tcW w:w="307" w:type="pct"/>
            <w:noWrap w:val="0"/>
            <w:vAlign w:val="center"/>
          </w:tcPr>
          <w:p w14:paraId="03BE02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4</w:t>
            </w:r>
          </w:p>
        </w:tc>
        <w:tc>
          <w:tcPr>
            <w:tcW w:w="307" w:type="pct"/>
            <w:noWrap w:val="0"/>
            <w:vAlign w:val="center"/>
          </w:tcPr>
          <w:p w14:paraId="02C90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0523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9410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73F0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31096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4F065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4</w:t>
            </w:r>
          </w:p>
        </w:tc>
      </w:tr>
      <w:tr w14:paraId="7CA1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3634ED44">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6E0E1D37">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14CC8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2.重复申请</w:t>
            </w:r>
          </w:p>
        </w:tc>
        <w:tc>
          <w:tcPr>
            <w:tcW w:w="307" w:type="pct"/>
            <w:noWrap w:val="0"/>
            <w:vAlign w:val="center"/>
          </w:tcPr>
          <w:p w14:paraId="6CFC0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3</w:t>
            </w:r>
          </w:p>
        </w:tc>
        <w:tc>
          <w:tcPr>
            <w:tcW w:w="307" w:type="pct"/>
            <w:noWrap w:val="0"/>
            <w:vAlign w:val="center"/>
          </w:tcPr>
          <w:p w14:paraId="115ABF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733DC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72CA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195899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6EF29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73157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3</w:t>
            </w:r>
          </w:p>
        </w:tc>
      </w:tr>
      <w:tr w14:paraId="43E1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18223C58">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3CC45105">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02B1F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3.要求提供公开出版物</w:t>
            </w:r>
          </w:p>
        </w:tc>
        <w:tc>
          <w:tcPr>
            <w:tcW w:w="307" w:type="pct"/>
            <w:noWrap w:val="0"/>
            <w:vAlign w:val="center"/>
          </w:tcPr>
          <w:p w14:paraId="326D7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D85F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7AB88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0D963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7995F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3B50E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29F55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r>
      <w:tr w14:paraId="26AC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1D885540">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21C8DCC4">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5562C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4.无正当理由大量反复申请</w:t>
            </w:r>
          </w:p>
        </w:tc>
        <w:tc>
          <w:tcPr>
            <w:tcW w:w="307" w:type="pct"/>
            <w:noWrap w:val="0"/>
            <w:vAlign w:val="center"/>
          </w:tcPr>
          <w:p w14:paraId="088F4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E920C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BAAB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01FD8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516224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23E22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167FD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r>
      <w:tr w14:paraId="42A0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784" w:type="pct"/>
            <w:vMerge w:val="continue"/>
            <w:noWrap w:val="0"/>
            <w:vAlign w:val="center"/>
          </w:tcPr>
          <w:p w14:paraId="69F272EF">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3CC21DDD">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center"/>
          </w:tcPr>
          <w:p w14:paraId="38F60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5.要求行政机关确认或重新出具已获取信息</w:t>
            </w:r>
          </w:p>
        </w:tc>
        <w:tc>
          <w:tcPr>
            <w:tcW w:w="307" w:type="pct"/>
            <w:noWrap w:val="0"/>
            <w:vAlign w:val="center"/>
          </w:tcPr>
          <w:p w14:paraId="7F472C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B72C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C34F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0C35D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6C60E9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3A5D1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1E5AD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r>
      <w:tr w14:paraId="5A03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4C1B802A">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restart"/>
            <w:noWrap w:val="0"/>
            <w:vAlign w:val="center"/>
          </w:tcPr>
          <w:p w14:paraId="11FC3A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（六）其他处理</w:t>
            </w:r>
          </w:p>
        </w:tc>
        <w:tc>
          <w:tcPr>
            <w:tcW w:w="1537" w:type="pct"/>
            <w:noWrap w:val="0"/>
            <w:vAlign w:val="center"/>
          </w:tcPr>
          <w:p w14:paraId="072258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1.申请人无正当理由逾期不补正、行政机关不再处理其政府信息公开申请</w:t>
            </w:r>
          </w:p>
        </w:tc>
        <w:tc>
          <w:tcPr>
            <w:tcW w:w="307" w:type="pct"/>
            <w:noWrap w:val="0"/>
            <w:vAlign w:val="center"/>
          </w:tcPr>
          <w:p w14:paraId="26826F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5</w:t>
            </w:r>
          </w:p>
        </w:tc>
        <w:tc>
          <w:tcPr>
            <w:tcW w:w="307" w:type="pct"/>
            <w:noWrap w:val="0"/>
            <w:vAlign w:val="center"/>
          </w:tcPr>
          <w:p w14:paraId="2BBC3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22ADE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FA5EC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373C0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D5C29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50F88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5</w:t>
            </w:r>
          </w:p>
        </w:tc>
      </w:tr>
      <w:tr w14:paraId="3F3B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2829256D">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0A3D3AEC">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center"/>
          </w:tcPr>
          <w:p w14:paraId="50DB73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2.申请人逾期未按收费通知要求缴纳费用、行政机关不再处理其政府信息公开申请</w:t>
            </w:r>
          </w:p>
        </w:tc>
        <w:tc>
          <w:tcPr>
            <w:tcW w:w="307" w:type="pct"/>
            <w:noWrap w:val="0"/>
            <w:vAlign w:val="center"/>
          </w:tcPr>
          <w:p w14:paraId="3131F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c>
          <w:tcPr>
            <w:tcW w:w="307" w:type="pct"/>
            <w:noWrap w:val="0"/>
            <w:vAlign w:val="center"/>
          </w:tcPr>
          <w:p w14:paraId="366DA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131C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DECD4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3CE470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101F4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5C545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r>
      <w:tr w14:paraId="39C6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4E5523F1">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35CE43B3">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center"/>
          </w:tcPr>
          <w:p w14:paraId="6828A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3.其他</w:t>
            </w:r>
          </w:p>
        </w:tc>
        <w:tc>
          <w:tcPr>
            <w:tcW w:w="307" w:type="pct"/>
            <w:noWrap w:val="0"/>
            <w:vAlign w:val="center"/>
          </w:tcPr>
          <w:p w14:paraId="641F43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3</w:t>
            </w:r>
          </w:p>
        </w:tc>
        <w:tc>
          <w:tcPr>
            <w:tcW w:w="307" w:type="pct"/>
            <w:noWrap w:val="0"/>
            <w:vAlign w:val="center"/>
          </w:tcPr>
          <w:p w14:paraId="2A5F3D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D1C8E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6E712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493561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2967E5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0</w:t>
            </w:r>
          </w:p>
        </w:tc>
        <w:tc>
          <w:tcPr>
            <w:tcW w:w="346" w:type="pct"/>
            <w:noWrap w:val="0"/>
            <w:vAlign w:val="center"/>
          </w:tcPr>
          <w:p w14:paraId="5569F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3</w:t>
            </w:r>
          </w:p>
        </w:tc>
      </w:tr>
      <w:tr w14:paraId="2D4F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668D1C6D">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975" w:type="pct"/>
            <w:gridSpan w:val="2"/>
            <w:noWrap w:val="0"/>
            <w:vAlign w:val="center"/>
          </w:tcPr>
          <w:p w14:paraId="43896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（七）总计</w:t>
            </w:r>
          </w:p>
        </w:tc>
        <w:tc>
          <w:tcPr>
            <w:tcW w:w="307" w:type="pct"/>
            <w:noWrap w:val="0"/>
            <w:vAlign w:val="center"/>
          </w:tcPr>
          <w:p w14:paraId="6C733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134</w:t>
            </w:r>
          </w:p>
        </w:tc>
        <w:tc>
          <w:tcPr>
            <w:tcW w:w="307" w:type="pct"/>
            <w:noWrap w:val="0"/>
            <w:vAlign w:val="center"/>
          </w:tcPr>
          <w:p w14:paraId="7D6BE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2</w:t>
            </w:r>
          </w:p>
        </w:tc>
        <w:tc>
          <w:tcPr>
            <w:tcW w:w="307" w:type="pct"/>
            <w:noWrap w:val="0"/>
            <w:vAlign w:val="center"/>
          </w:tcPr>
          <w:p w14:paraId="4081D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5AB0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11F55E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color w:val="333333"/>
                <w:kern w:val="0"/>
                <w:sz w:val="21"/>
                <w:szCs w:val="21"/>
                <w:highlight w:val="none"/>
                <w:lang w:val="en-US" w:eastAsia="zh-CN" w:bidi="ar"/>
              </w:rPr>
              <w:t>3</w:t>
            </w:r>
          </w:p>
        </w:tc>
        <w:tc>
          <w:tcPr>
            <w:tcW w:w="353" w:type="pct"/>
            <w:noWrap w:val="0"/>
            <w:vAlign w:val="center"/>
          </w:tcPr>
          <w:p w14:paraId="7F9B5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4C9A1B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139</w:t>
            </w:r>
          </w:p>
        </w:tc>
      </w:tr>
      <w:tr w14:paraId="2B83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noWrap w:val="0"/>
            <w:vAlign w:val="center"/>
          </w:tcPr>
          <w:p w14:paraId="060203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四、结转下年度继续办理</w:t>
            </w:r>
          </w:p>
        </w:tc>
        <w:tc>
          <w:tcPr>
            <w:tcW w:w="307" w:type="pct"/>
            <w:noWrap w:val="0"/>
            <w:vAlign w:val="center"/>
          </w:tcPr>
          <w:p w14:paraId="6AD1C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8</w:t>
            </w:r>
          </w:p>
        </w:tc>
        <w:tc>
          <w:tcPr>
            <w:tcW w:w="307" w:type="pct"/>
            <w:noWrap w:val="0"/>
            <w:vAlign w:val="center"/>
          </w:tcPr>
          <w:p w14:paraId="6777E7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23612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C01AB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B34F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0ECD0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65F6D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8</w:t>
            </w:r>
          </w:p>
        </w:tc>
      </w:tr>
    </w:tbl>
    <w:p w14:paraId="0CE87F5C">
      <w:pPr>
        <w:keepLines w:val="0"/>
        <w:pageBreakBefore w:val="0"/>
        <w:numPr>
          <w:ilvl w:val="0"/>
          <w:numId w:val="0"/>
        </w:numPr>
        <w:kinsoku/>
        <w:overflowPunct/>
        <w:autoSpaceDE/>
        <w:autoSpaceDN/>
        <w:bidi w:val="0"/>
        <w:spacing w:line="560" w:lineRule="exact"/>
        <w:ind w:firstLine="640" w:firstLineChars="200"/>
        <w:jc w:val="both"/>
        <w:textAlignment w:val="auto"/>
        <w:rPr>
          <w:rFonts w:hint="eastAsia" w:ascii="黑体" w:hAnsi="黑体" w:eastAsia="黑体" w:cs="黑体"/>
          <w:b w:val="0"/>
          <w:bCs w:val="0"/>
          <w:color w:val="333333"/>
          <w:sz w:val="32"/>
          <w:szCs w:val="32"/>
          <w:highlight w:val="none"/>
        </w:rPr>
      </w:pPr>
      <w:r>
        <w:rPr>
          <w:rFonts w:hint="eastAsia" w:ascii="黑体" w:hAnsi="黑体" w:eastAsia="黑体" w:cs="黑体"/>
          <w:b w:val="0"/>
          <w:bCs w:val="0"/>
          <w:color w:val="333333"/>
          <w:sz w:val="32"/>
          <w:szCs w:val="32"/>
          <w:highlight w:val="none"/>
          <w:lang w:val="en-US" w:eastAsia="zh-CN"/>
        </w:rPr>
        <w:t>四、</w:t>
      </w:r>
      <w:r>
        <w:rPr>
          <w:rFonts w:hint="eastAsia" w:ascii="黑体" w:hAnsi="黑体" w:eastAsia="黑体" w:cs="黑体"/>
          <w:b w:val="0"/>
          <w:bCs w:val="0"/>
          <w:color w:val="333333"/>
          <w:sz w:val="32"/>
          <w:szCs w:val="32"/>
          <w:highlight w:val="none"/>
        </w:rPr>
        <w:t>政府信息公开行政复议、行政诉讼情况</w:t>
      </w:r>
    </w:p>
    <w:p w14:paraId="51D6BB8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2021年度，全区因政府信息公开工作被申请行政复议19件，提起行政诉讼22件。</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0"/>
        <w:gridCol w:w="612"/>
        <w:gridCol w:w="612"/>
        <w:gridCol w:w="613"/>
        <w:gridCol w:w="622"/>
        <w:gridCol w:w="613"/>
        <w:gridCol w:w="613"/>
        <w:gridCol w:w="615"/>
        <w:gridCol w:w="615"/>
        <w:gridCol w:w="620"/>
        <w:gridCol w:w="615"/>
        <w:gridCol w:w="615"/>
        <w:gridCol w:w="615"/>
        <w:gridCol w:w="615"/>
        <w:gridCol w:w="622"/>
      </w:tblGrid>
      <w:tr w14:paraId="4540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4" w:type="pct"/>
            <w:gridSpan w:val="5"/>
            <w:shd w:val="clear" w:color="auto" w:fill="auto"/>
            <w:vAlign w:val="center"/>
          </w:tcPr>
          <w:p w14:paraId="6070A9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highlight w:val="none"/>
              </w:rPr>
            </w:pPr>
            <w:r>
              <w:rPr>
                <w:rFonts w:hint="eastAsia" w:ascii="宋体" w:hAnsi="宋体" w:eastAsia="宋体" w:cs="宋体"/>
                <w:color w:val="333333"/>
                <w:kern w:val="0"/>
                <w:sz w:val="20"/>
                <w:szCs w:val="20"/>
                <w:highlight w:val="none"/>
                <w:lang w:val="en-US" w:eastAsia="zh-CN" w:bidi="ar"/>
              </w:rPr>
              <w:t>行政复议</w:t>
            </w:r>
          </w:p>
        </w:tc>
        <w:tc>
          <w:tcPr>
            <w:tcW w:w="3335" w:type="pct"/>
            <w:gridSpan w:val="10"/>
            <w:shd w:val="clear" w:color="auto" w:fill="auto"/>
            <w:vAlign w:val="center"/>
          </w:tcPr>
          <w:p w14:paraId="0AB185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highlight w:val="none"/>
              </w:rPr>
            </w:pPr>
            <w:r>
              <w:rPr>
                <w:rFonts w:hint="eastAsia" w:ascii="宋体" w:hAnsi="宋体" w:eastAsia="宋体" w:cs="宋体"/>
                <w:color w:val="333333"/>
                <w:kern w:val="0"/>
                <w:sz w:val="20"/>
                <w:szCs w:val="20"/>
                <w:highlight w:val="none"/>
                <w:lang w:val="en-US" w:eastAsia="zh-CN" w:bidi="ar"/>
              </w:rPr>
              <w:t>行政诉讼</w:t>
            </w:r>
          </w:p>
        </w:tc>
      </w:tr>
      <w:tr w14:paraId="2A2C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1" w:type="pct"/>
            <w:vMerge w:val="restart"/>
            <w:shd w:val="clear" w:color="auto" w:fill="auto"/>
            <w:vAlign w:val="center"/>
          </w:tcPr>
          <w:p w14:paraId="4B9A2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结果维持</w:t>
            </w:r>
          </w:p>
        </w:tc>
        <w:tc>
          <w:tcPr>
            <w:tcW w:w="332" w:type="pct"/>
            <w:vMerge w:val="restart"/>
            <w:shd w:val="clear" w:color="auto" w:fill="auto"/>
            <w:vAlign w:val="center"/>
          </w:tcPr>
          <w:p w14:paraId="65BD92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纠正</w:t>
            </w:r>
          </w:p>
        </w:tc>
        <w:tc>
          <w:tcPr>
            <w:tcW w:w="332" w:type="pct"/>
            <w:vMerge w:val="restart"/>
            <w:shd w:val="clear" w:color="auto" w:fill="auto"/>
            <w:vAlign w:val="center"/>
          </w:tcPr>
          <w:p w14:paraId="58D25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其他</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结果</w:t>
            </w:r>
          </w:p>
        </w:tc>
        <w:tc>
          <w:tcPr>
            <w:tcW w:w="332" w:type="pct"/>
            <w:vMerge w:val="restart"/>
            <w:shd w:val="clear" w:color="auto" w:fill="auto"/>
            <w:vAlign w:val="center"/>
          </w:tcPr>
          <w:p w14:paraId="43D85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尚未</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审结</w:t>
            </w:r>
          </w:p>
        </w:tc>
        <w:tc>
          <w:tcPr>
            <w:tcW w:w="336" w:type="pct"/>
            <w:vMerge w:val="restart"/>
            <w:shd w:val="clear" w:color="auto" w:fill="auto"/>
            <w:vAlign w:val="center"/>
          </w:tcPr>
          <w:p w14:paraId="1CC1F2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总计</w:t>
            </w:r>
          </w:p>
        </w:tc>
        <w:tc>
          <w:tcPr>
            <w:tcW w:w="1666" w:type="pct"/>
            <w:gridSpan w:val="5"/>
            <w:shd w:val="clear" w:color="auto" w:fill="auto"/>
            <w:vAlign w:val="center"/>
          </w:tcPr>
          <w:p w14:paraId="2B4ED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highlight w:val="none"/>
              </w:rPr>
            </w:pPr>
            <w:r>
              <w:rPr>
                <w:rFonts w:hint="eastAsia" w:ascii="宋体" w:hAnsi="宋体" w:eastAsia="宋体" w:cs="宋体"/>
                <w:color w:val="333333"/>
                <w:kern w:val="0"/>
                <w:sz w:val="20"/>
                <w:szCs w:val="20"/>
                <w:highlight w:val="none"/>
                <w:lang w:val="en-US" w:eastAsia="zh-CN" w:bidi="ar"/>
              </w:rPr>
              <w:t>未经复议直接起诉</w:t>
            </w:r>
          </w:p>
        </w:tc>
        <w:tc>
          <w:tcPr>
            <w:tcW w:w="1668" w:type="pct"/>
            <w:gridSpan w:val="5"/>
            <w:shd w:val="clear" w:color="auto" w:fill="auto"/>
            <w:vAlign w:val="center"/>
          </w:tcPr>
          <w:p w14:paraId="662810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highlight w:val="none"/>
              </w:rPr>
            </w:pPr>
            <w:r>
              <w:rPr>
                <w:rFonts w:hint="eastAsia" w:ascii="宋体" w:hAnsi="宋体" w:eastAsia="宋体" w:cs="宋体"/>
                <w:color w:val="333333"/>
                <w:kern w:val="0"/>
                <w:sz w:val="20"/>
                <w:szCs w:val="20"/>
                <w:highlight w:val="none"/>
                <w:lang w:val="en-US" w:eastAsia="zh-CN" w:bidi="ar"/>
              </w:rPr>
              <w:t>复议后起诉</w:t>
            </w:r>
          </w:p>
        </w:tc>
      </w:tr>
      <w:tr w14:paraId="4304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1" w:type="pct"/>
            <w:vMerge w:val="continue"/>
            <w:shd w:val="clear" w:color="auto" w:fill="auto"/>
            <w:vAlign w:val="center"/>
          </w:tcPr>
          <w:p w14:paraId="671F37FE">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32" w:type="pct"/>
            <w:vMerge w:val="continue"/>
            <w:shd w:val="clear" w:color="auto" w:fill="auto"/>
            <w:vAlign w:val="center"/>
          </w:tcPr>
          <w:p w14:paraId="4D16CB12">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32" w:type="pct"/>
            <w:vMerge w:val="continue"/>
            <w:shd w:val="clear" w:color="auto" w:fill="auto"/>
            <w:vAlign w:val="center"/>
          </w:tcPr>
          <w:p w14:paraId="69082E3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32" w:type="pct"/>
            <w:vMerge w:val="continue"/>
            <w:shd w:val="clear" w:color="auto" w:fill="auto"/>
            <w:vAlign w:val="center"/>
          </w:tcPr>
          <w:p w14:paraId="47F5A32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36" w:type="pct"/>
            <w:vMerge w:val="continue"/>
            <w:shd w:val="clear" w:color="auto" w:fill="auto"/>
            <w:vAlign w:val="center"/>
          </w:tcPr>
          <w:p w14:paraId="6C20286D">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32" w:type="pct"/>
            <w:shd w:val="clear" w:color="auto" w:fill="auto"/>
            <w:vAlign w:val="center"/>
          </w:tcPr>
          <w:p w14:paraId="33A39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维持</w:t>
            </w:r>
          </w:p>
        </w:tc>
        <w:tc>
          <w:tcPr>
            <w:tcW w:w="332" w:type="pct"/>
            <w:shd w:val="clear" w:color="auto" w:fill="auto"/>
            <w:vAlign w:val="center"/>
          </w:tcPr>
          <w:p w14:paraId="51B83F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纠正</w:t>
            </w:r>
          </w:p>
        </w:tc>
        <w:tc>
          <w:tcPr>
            <w:tcW w:w="333" w:type="pct"/>
            <w:shd w:val="clear" w:color="auto" w:fill="auto"/>
            <w:vAlign w:val="center"/>
          </w:tcPr>
          <w:p w14:paraId="48757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其他</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结果</w:t>
            </w:r>
          </w:p>
        </w:tc>
        <w:tc>
          <w:tcPr>
            <w:tcW w:w="333" w:type="pct"/>
            <w:shd w:val="clear" w:color="auto" w:fill="auto"/>
            <w:vAlign w:val="center"/>
          </w:tcPr>
          <w:p w14:paraId="7EEBA9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尚未</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审结</w:t>
            </w:r>
          </w:p>
        </w:tc>
        <w:tc>
          <w:tcPr>
            <w:tcW w:w="335" w:type="pct"/>
            <w:shd w:val="clear" w:color="auto" w:fill="auto"/>
            <w:vAlign w:val="center"/>
          </w:tcPr>
          <w:p w14:paraId="4A165A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000000"/>
                <w:kern w:val="0"/>
                <w:sz w:val="20"/>
                <w:szCs w:val="20"/>
                <w:highlight w:val="none"/>
                <w:lang w:val="en-US" w:eastAsia="zh-CN" w:bidi="ar"/>
              </w:rPr>
              <w:t>总计</w:t>
            </w:r>
          </w:p>
        </w:tc>
        <w:tc>
          <w:tcPr>
            <w:tcW w:w="333" w:type="pct"/>
            <w:shd w:val="clear" w:color="auto" w:fill="auto"/>
            <w:vAlign w:val="center"/>
          </w:tcPr>
          <w:p w14:paraId="2817DD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维持</w:t>
            </w:r>
          </w:p>
        </w:tc>
        <w:tc>
          <w:tcPr>
            <w:tcW w:w="333" w:type="pct"/>
            <w:shd w:val="clear" w:color="auto" w:fill="auto"/>
            <w:vAlign w:val="center"/>
          </w:tcPr>
          <w:p w14:paraId="4B513F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纠正</w:t>
            </w:r>
          </w:p>
        </w:tc>
        <w:tc>
          <w:tcPr>
            <w:tcW w:w="333" w:type="pct"/>
            <w:shd w:val="clear" w:color="auto" w:fill="auto"/>
            <w:vAlign w:val="center"/>
          </w:tcPr>
          <w:p w14:paraId="63C73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000000"/>
                <w:kern w:val="0"/>
                <w:sz w:val="20"/>
                <w:szCs w:val="20"/>
                <w:highlight w:val="none"/>
                <w:lang w:val="en-US" w:eastAsia="zh-CN" w:bidi="ar"/>
              </w:rPr>
              <w:t>其他</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结果</w:t>
            </w:r>
          </w:p>
        </w:tc>
        <w:tc>
          <w:tcPr>
            <w:tcW w:w="333" w:type="pct"/>
            <w:shd w:val="clear" w:color="auto" w:fill="auto"/>
            <w:vAlign w:val="center"/>
          </w:tcPr>
          <w:p w14:paraId="3E3DB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尚未</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审结</w:t>
            </w:r>
          </w:p>
        </w:tc>
        <w:tc>
          <w:tcPr>
            <w:tcW w:w="335" w:type="pct"/>
            <w:shd w:val="clear" w:color="auto" w:fill="auto"/>
            <w:vAlign w:val="center"/>
          </w:tcPr>
          <w:p w14:paraId="1F43F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000000"/>
                <w:kern w:val="0"/>
                <w:sz w:val="20"/>
                <w:szCs w:val="20"/>
                <w:highlight w:val="none"/>
                <w:lang w:val="en-US" w:eastAsia="zh-CN" w:bidi="ar"/>
              </w:rPr>
              <w:t>总计</w:t>
            </w:r>
          </w:p>
        </w:tc>
      </w:tr>
      <w:tr w14:paraId="7095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trPr>
        <w:tc>
          <w:tcPr>
            <w:tcW w:w="331" w:type="pct"/>
            <w:shd w:val="clear" w:color="auto" w:fill="auto"/>
            <w:vAlign w:val="center"/>
          </w:tcPr>
          <w:p w14:paraId="67AA6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9</w:t>
            </w:r>
          </w:p>
        </w:tc>
        <w:tc>
          <w:tcPr>
            <w:tcW w:w="332" w:type="pct"/>
            <w:shd w:val="clear" w:color="auto" w:fill="auto"/>
            <w:vAlign w:val="center"/>
          </w:tcPr>
          <w:p w14:paraId="01F6FE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0</w:t>
            </w:r>
          </w:p>
        </w:tc>
        <w:tc>
          <w:tcPr>
            <w:tcW w:w="332" w:type="pct"/>
            <w:shd w:val="clear" w:color="auto" w:fill="auto"/>
            <w:vAlign w:val="center"/>
          </w:tcPr>
          <w:p w14:paraId="6EC2B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eastAsia"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7</w:t>
            </w:r>
          </w:p>
        </w:tc>
        <w:tc>
          <w:tcPr>
            <w:tcW w:w="332" w:type="pct"/>
            <w:shd w:val="clear" w:color="auto" w:fill="auto"/>
            <w:vAlign w:val="center"/>
          </w:tcPr>
          <w:p w14:paraId="7392D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eastAsia"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3</w:t>
            </w:r>
          </w:p>
        </w:tc>
        <w:tc>
          <w:tcPr>
            <w:tcW w:w="336" w:type="pct"/>
            <w:shd w:val="clear" w:color="auto" w:fill="auto"/>
            <w:vAlign w:val="center"/>
          </w:tcPr>
          <w:p w14:paraId="219107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19</w:t>
            </w:r>
          </w:p>
        </w:tc>
        <w:tc>
          <w:tcPr>
            <w:tcW w:w="332" w:type="pct"/>
            <w:shd w:val="clear" w:color="auto" w:fill="auto"/>
            <w:vAlign w:val="center"/>
          </w:tcPr>
          <w:p w14:paraId="1F28E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12</w:t>
            </w:r>
          </w:p>
        </w:tc>
        <w:tc>
          <w:tcPr>
            <w:tcW w:w="332" w:type="pct"/>
            <w:shd w:val="clear" w:color="auto" w:fill="auto"/>
            <w:vAlign w:val="center"/>
          </w:tcPr>
          <w:p w14:paraId="58B957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w:t>
            </w:r>
          </w:p>
        </w:tc>
        <w:tc>
          <w:tcPr>
            <w:tcW w:w="333" w:type="pct"/>
            <w:shd w:val="clear" w:color="auto" w:fill="auto"/>
            <w:vAlign w:val="center"/>
          </w:tcPr>
          <w:p w14:paraId="67ACF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w:t>
            </w:r>
          </w:p>
        </w:tc>
        <w:tc>
          <w:tcPr>
            <w:tcW w:w="333" w:type="pct"/>
            <w:shd w:val="clear" w:color="auto" w:fill="auto"/>
            <w:vAlign w:val="center"/>
          </w:tcPr>
          <w:p w14:paraId="021BDB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w:t>
            </w:r>
          </w:p>
        </w:tc>
        <w:tc>
          <w:tcPr>
            <w:tcW w:w="335" w:type="pct"/>
            <w:shd w:val="clear" w:color="auto" w:fill="auto"/>
            <w:vAlign w:val="center"/>
          </w:tcPr>
          <w:p w14:paraId="425D10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15</w:t>
            </w:r>
          </w:p>
        </w:tc>
        <w:tc>
          <w:tcPr>
            <w:tcW w:w="333" w:type="pct"/>
            <w:shd w:val="clear" w:color="auto" w:fill="auto"/>
            <w:vAlign w:val="center"/>
          </w:tcPr>
          <w:p w14:paraId="5EBF2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5</w:t>
            </w:r>
          </w:p>
        </w:tc>
        <w:tc>
          <w:tcPr>
            <w:tcW w:w="333" w:type="pct"/>
            <w:shd w:val="clear" w:color="auto" w:fill="auto"/>
            <w:vAlign w:val="center"/>
          </w:tcPr>
          <w:p w14:paraId="57E81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0</w:t>
            </w:r>
          </w:p>
        </w:tc>
        <w:tc>
          <w:tcPr>
            <w:tcW w:w="333" w:type="pct"/>
            <w:shd w:val="clear" w:color="auto" w:fill="auto"/>
            <w:vAlign w:val="center"/>
          </w:tcPr>
          <w:p w14:paraId="7F645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eastAsia"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0</w:t>
            </w:r>
          </w:p>
        </w:tc>
        <w:tc>
          <w:tcPr>
            <w:tcW w:w="333" w:type="pct"/>
            <w:shd w:val="clear" w:color="auto" w:fill="auto"/>
            <w:vAlign w:val="center"/>
          </w:tcPr>
          <w:p w14:paraId="240925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2</w:t>
            </w:r>
          </w:p>
        </w:tc>
        <w:tc>
          <w:tcPr>
            <w:tcW w:w="335" w:type="pct"/>
            <w:shd w:val="clear" w:color="auto" w:fill="auto"/>
            <w:vAlign w:val="center"/>
          </w:tcPr>
          <w:p w14:paraId="4E5B3E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eastAsia"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7</w:t>
            </w:r>
          </w:p>
        </w:tc>
      </w:tr>
    </w:tbl>
    <w:p w14:paraId="126A80E0">
      <w:pPr>
        <w:keepNext w:val="0"/>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333333"/>
          <w:sz w:val="32"/>
          <w:szCs w:val="32"/>
          <w:highlight w:val="none"/>
        </w:rPr>
      </w:pPr>
      <w:r>
        <w:rPr>
          <w:rFonts w:hint="eastAsia" w:ascii="黑体" w:hAnsi="黑体" w:eastAsia="黑体" w:cs="黑体"/>
          <w:b w:val="0"/>
          <w:bCs w:val="0"/>
          <w:color w:val="333333"/>
          <w:sz w:val="32"/>
          <w:szCs w:val="32"/>
          <w:highlight w:val="none"/>
          <w:lang w:val="en-US" w:eastAsia="zh-CN"/>
        </w:rPr>
        <w:t>五、</w:t>
      </w:r>
      <w:r>
        <w:rPr>
          <w:rFonts w:hint="eastAsia" w:ascii="黑体" w:hAnsi="黑体" w:eastAsia="黑体" w:cs="黑体"/>
          <w:b w:val="0"/>
          <w:bCs w:val="0"/>
          <w:color w:val="333333"/>
          <w:sz w:val="32"/>
          <w:szCs w:val="32"/>
          <w:highlight w:val="none"/>
        </w:rPr>
        <w:t>存在的主要问题及改进情况</w:t>
      </w:r>
    </w:p>
    <w:p w14:paraId="0202A377">
      <w:pPr>
        <w:keepNext w:val="0"/>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（一）上年度存在的问题及改进情况</w:t>
      </w:r>
    </w:p>
    <w:p w14:paraId="1B0C489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2020年存在的问题：信息公开专职人员业务能力有待提高；主动获取重点领域的信息量还不够多，发布的内容还不够全，数量和频率还有待提高。</w:t>
      </w:r>
    </w:p>
    <w:p w14:paraId="6EDB4B3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改进情况：一是各单位提高了对政府信息公开工作的重视程度，强化了专业队伍。建立了一支相对稳定、专业的政务公开工作队伍，经常组织培训学习，积极开展多形式、多渠道的信息共享，全面提升政务公开工作水平。二是在区政务服务中心设置了信息公开专区，利用广播、电视、报纸、政务新媒体、社区公示栏等渠道，扩大信息公开的广度和深度。三是发布26个试点领域基层政务公开标准目录，编制形成《全区政府网站及信息公开主体单位职责分工表》，全区50个单位结合本单位实际发布了本单位的信息公开指南。进一步明确各单位职责分工、更新时限以及主动公开、不得公开的政府信息。</w:t>
      </w:r>
    </w:p>
    <w:p w14:paraId="35855162">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（二）本年度存在的问题及下一步工作打算</w:t>
      </w:r>
    </w:p>
    <w:p w14:paraId="7B42780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2021年存在的问题：一是政策解读形式有待进一步丰富，解读质量有待进一步提升；二是部分单位的政府信息主动公开意识有待进一步提高，公开平台内容有待补充完善；三是政府信息公开平台建设有待完善。</w:t>
      </w:r>
    </w:p>
    <w:p w14:paraId="0332DC7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工作打算：一是加大政策解读工作力度，开展政府新闻发布会、H5等多形式解读，不断提升解读质效；二是提高各单位政务公开工作的重视程度，加强主动公开意识；三是持续规范政府信息公开平台建设，进一步优化栏目页面设置、栏目检索功能、栏目下载功能、数据互联互通功能。</w:t>
      </w:r>
    </w:p>
    <w:p w14:paraId="78875DE2">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黑体" w:hAnsi="黑体" w:eastAsia="黑体" w:cs="黑体"/>
          <w:b w:val="0"/>
          <w:bCs w:val="0"/>
          <w:color w:val="auto"/>
          <w:sz w:val="32"/>
          <w:szCs w:val="32"/>
          <w:highlight w:val="none"/>
          <w:lang w:val="en-US" w:eastAsia="zh-CN"/>
        </w:rPr>
        <w:t>六、其他需要报告的事项</w:t>
      </w:r>
    </w:p>
    <w:p w14:paraId="665DFD26">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640" w:leftChars="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（一）议题案办理情况</w:t>
      </w:r>
    </w:p>
    <w:p w14:paraId="2F5B173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2021年，全区共接到市、区人大政协交办的议提案共334件。其中市人大政协交办的议题案共10件（其中主办件5件），区人大政协交办的议题案共324件。所有议题案均已办结，</w:t>
      </w:r>
      <w:r>
        <w:rPr>
          <w:rFonts w:hint="default" w:ascii="仿宋" w:hAnsi="仿宋" w:eastAsia="仿宋" w:cs="仿宋"/>
          <w:kern w:val="0"/>
          <w:sz w:val="32"/>
          <w:szCs w:val="32"/>
          <w:highlight w:val="none"/>
          <w:lang w:val="en-US" w:eastAsia="zh-CN"/>
        </w:rPr>
        <w:t>满意和基本满意率</w:t>
      </w:r>
      <w:r>
        <w:rPr>
          <w:rFonts w:hint="eastAsia" w:ascii="仿宋" w:hAnsi="仿宋" w:eastAsia="仿宋" w:cs="仿宋"/>
          <w:kern w:val="0"/>
          <w:sz w:val="32"/>
          <w:szCs w:val="32"/>
          <w:highlight w:val="none"/>
          <w:lang w:val="en-US" w:eastAsia="zh-CN"/>
        </w:rPr>
        <w:t>达到100%</w:t>
      </w:r>
      <w:r>
        <w:rPr>
          <w:rFonts w:hint="default" w:ascii="仿宋" w:hAnsi="仿宋" w:eastAsia="仿宋" w:cs="仿宋"/>
          <w:kern w:val="0"/>
          <w:sz w:val="32"/>
          <w:szCs w:val="32"/>
          <w:highlight w:val="none"/>
          <w:lang w:val="en-US" w:eastAsia="zh-CN"/>
        </w:rPr>
        <w:t>。</w:t>
      </w:r>
    </w:p>
    <w:p w14:paraId="28504868">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bidi="ar-SA"/>
        </w:rPr>
        <w:t>（二）</w:t>
      </w:r>
      <w:r>
        <w:rPr>
          <w:rFonts w:hint="eastAsia" w:ascii="楷体" w:hAnsi="楷体" w:eastAsia="楷体" w:cs="楷体"/>
          <w:sz w:val="32"/>
          <w:szCs w:val="32"/>
          <w:highlight w:val="none"/>
          <w:lang w:val="en-US" w:eastAsia="zh-CN"/>
        </w:rPr>
        <w:t>政府信息处理费收取情况</w:t>
      </w:r>
    </w:p>
    <w:p w14:paraId="7B27C28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根据国务院办公厅关于印发《政府信息公开信息处理费管理办法》的通知（国办函〔2020〕109号）文件精神，全区共收取政府信息处理费1700元。</w:t>
      </w:r>
    </w:p>
    <w:p w14:paraId="595CF1E2">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（三）《政务公开工作要点》落实情况</w:t>
      </w:r>
    </w:p>
    <w:p w14:paraId="231528F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硚口区认真落实《省人民政府办公厅关于印发2021年湖北省政务公开工作要点的通知》。一是加大重大决策预公开力度，设置“决策预公开”栏目，下设“政策执行及落实情况”“重大决策事项目录”“决策草案及意见反馈”“其他文件预公开”等栏目。二是做好各类规划主动公开。增设“十四五”规划及“历史规划”等栏目，集中统一公开“十四五”规划文本，同步公开规划解读材料并做好历史规划（计划）的归集整理和主动公开工作。三是做好财政资金信息公开。稳步扩大预决算公开范围，持续深化地方政府债务信息公开，做好财政资金直达基层信息公开，加大惠民惠农财政补贴资金“一卡通”信息公开力度，推动补贴信息公开向社区延伸。四是做好舆情回应工作。增强舆情回应工作的主动性，围绕政务舆情背后的实际问题，以解决问题的具体举措实质性回应社会关切，主动回应共性问题，助力政策完善。2021年我区共受理网上诉求405件，办结405件，共受理群众诉求12335件，办结12335件。</w:t>
      </w:r>
    </w:p>
    <w:p w14:paraId="6B3522F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p>
    <w:p w14:paraId="7CD2A5B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kern w:val="0"/>
          <w:sz w:val="32"/>
          <w:szCs w:val="32"/>
          <w:highlight w:val="none"/>
          <w:lang w:val="en-US" w:eastAsia="zh-CN"/>
        </w:rPr>
      </w:pPr>
    </w:p>
    <w:p w14:paraId="70BE759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3558" w:firstLineChars="1112"/>
        <w:jc w:val="center"/>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硚口区政务服务和大数据管理局</w:t>
      </w:r>
    </w:p>
    <w:p w14:paraId="1CEEAB3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3558" w:firstLineChars="1112"/>
        <w:jc w:val="center"/>
        <w:textAlignment w:val="auto"/>
        <w:rPr>
          <w:highlight w:val="none"/>
        </w:rPr>
      </w:pPr>
      <w:r>
        <w:rPr>
          <w:rFonts w:hint="eastAsia" w:ascii="仿宋" w:hAnsi="仿宋" w:eastAsia="仿宋" w:cs="仿宋"/>
          <w:kern w:val="0"/>
          <w:sz w:val="32"/>
          <w:szCs w:val="32"/>
          <w:highlight w:val="none"/>
          <w:lang w:val="en-US" w:eastAsia="zh-CN"/>
        </w:rPr>
        <w:t>2022年2月8日</w:t>
      </w:r>
    </w:p>
    <w:sectPr>
      <w:footerReference r:id="rId3" w:type="default"/>
      <w:pgSz w:w="11906" w:h="16838"/>
      <w:pgMar w:top="1417" w:right="1304" w:bottom="1417" w:left="158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aco">
    <w:panose1 w:val="020B050903040404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A02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DE91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8DE91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CFED4"/>
    <w:multiLevelType w:val="singleLevel"/>
    <w:tmpl w:val="1FDCFED4"/>
    <w:lvl w:ilvl="0" w:tentative="0">
      <w:start w:val="5"/>
      <w:numFmt w:val="chineseCounting"/>
      <w:suff w:val="nothing"/>
      <w:lvlText w:val="（%1）"/>
      <w:lvlJc w:val="left"/>
      <w:rPr>
        <w:rFonts w:hint="eastAsia"/>
      </w:rPr>
    </w:lvl>
  </w:abstractNum>
  <w:abstractNum w:abstractNumId="1">
    <w:nsid w:val="2DC432F6"/>
    <w:multiLevelType w:val="singleLevel"/>
    <w:tmpl w:val="2DC432F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ZTMzODgyOTY2NWYxNjg2MWY1YTdiODhjOGNiN2QifQ=="/>
  </w:docVars>
  <w:rsids>
    <w:rsidRoot w:val="7FCF500A"/>
    <w:rsid w:val="00CB77BE"/>
    <w:rsid w:val="02151639"/>
    <w:rsid w:val="022E44A8"/>
    <w:rsid w:val="027E41A6"/>
    <w:rsid w:val="02E30EFB"/>
    <w:rsid w:val="030709C3"/>
    <w:rsid w:val="05C438E3"/>
    <w:rsid w:val="061D0ABC"/>
    <w:rsid w:val="06A25465"/>
    <w:rsid w:val="06AD0545"/>
    <w:rsid w:val="06CB24CD"/>
    <w:rsid w:val="073124D5"/>
    <w:rsid w:val="08061CCE"/>
    <w:rsid w:val="081E4FBF"/>
    <w:rsid w:val="090221EB"/>
    <w:rsid w:val="092106F2"/>
    <w:rsid w:val="09EB4C14"/>
    <w:rsid w:val="0ADA341F"/>
    <w:rsid w:val="0B1870B9"/>
    <w:rsid w:val="0B602C14"/>
    <w:rsid w:val="0C001D59"/>
    <w:rsid w:val="0C632FA1"/>
    <w:rsid w:val="0D4A7900"/>
    <w:rsid w:val="0DDE11F1"/>
    <w:rsid w:val="0E15651D"/>
    <w:rsid w:val="0E303356"/>
    <w:rsid w:val="0E9A3896"/>
    <w:rsid w:val="0EA11202"/>
    <w:rsid w:val="0FC91C79"/>
    <w:rsid w:val="10202503"/>
    <w:rsid w:val="102962AF"/>
    <w:rsid w:val="103211D1"/>
    <w:rsid w:val="10B93AFF"/>
    <w:rsid w:val="11020FDA"/>
    <w:rsid w:val="11060153"/>
    <w:rsid w:val="11163815"/>
    <w:rsid w:val="11B04EDA"/>
    <w:rsid w:val="12011292"/>
    <w:rsid w:val="14B0380B"/>
    <w:rsid w:val="14F47B94"/>
    <w:rsid w:val="150B2427"/>
    <w:rsid w:val="152D05F0"/>
    <w:rsid w:val="15A779A4"/>
    <w:rsid w:val="16461969"/>
    <w:rsid w:val="16AE139D"/>
    <w:rsid w:val="16F55420"/>
    <w:rsid w:val="17017F86"/>
    <w:rsid w:val="170830C2"/>
    <w:rsid w:val="17465999"/>
    <w:rsid w:val="178642C9"/>
    <w:rsid w:val="17B56CB2"/>
    <w:rsid w:val="17D31922"/>
    <w:rsid w:val="18270401"/>
    <w:rsid w:val="18300B23"/>
    <w:rsid w:val="18A706B9"/>
    <w:rsid w:val="18DA6CE0"/>
    <w:rsid w:val="19183BAB"/>
    <w:rsid w:val="1B1A2A74"/>
    <w:rsid w:val="1B627A11"/>
    <w:rsid w:val="1CE35F16"/>
    <w:rsid w:val="1CFD4D4B"/>
    <w:rsid w:val="1D1D719C"/>
    <w:rsid w:val="1D5C4168"/>
    <w:rsid w:val="203942EC"/>
    <w:rsid w:val="203F7955"/>
    <w:rsid w:val="206A26F8"/>
    <w:rsid w:val="20B830EF"/>
    <w:rsid w:val="21425982"/>
    <w:rsid w:val="21A93F72"/>
    <w:rsid w:val="21B77BBF"/>
    <w:rsid w:val="23733FB9"/>
    <w:rsid w:val="23871813"/>
    <w:rsid w:val="23B95E70"/>
    <w:rsid w:val="246F2B60"/>
    <w:rsid w:val="24DB6E55"/>
    <w:rsid w:val="25BD21AD"/>
    <w:rsid w:val="25F212E3"/>
    <w:rsid w:val="260733C5"/>
    <w:rsid w:val="26502390"/>
    <w:rsid w:val="267275BA"/>
    <w:rsid w:val="27B22717"/>
    <w:rsid w:val="282A4DA0"/>
    <w:rsid w:val="28577A06"/>
    <w:rsid w:val="28704451"/>
    <w:rsid w:val="287F5F8E"/>
    <w:rsid w:val="28AD37B2"/>
    <w:rsid w:val="28CD5F1A"/>
    <w:rsid w:val="28ED3EC6"/>
    <w:rsid w:val="29AA0009"/>
    <w:rsid w:val="2B02634F"/>
    <w:rsid w:val="2C9E3E55"/>
    <w:rsid w:val="2CBB79FD"/>
    <w:rsid w:val="2CCB2770"/>
    <w:rsid w:val="2CE2210F"/>
    <w:rsid w:val="2D7B23E8"/>
    <w:rsid w:val="2D9C4F6B"/>
    <w:rsid w:val="2DA63C8C"/>
    <w:rsid w:val="2EF42085"/>
    <w:rsid w:val="301917A7"/>
    <w:rsid w:val="3082749C"/>
    <w:rsid w:val="30FB1753"/>
    <w:rsid w:val="33707BCD"/>
    <w:rsid w:val="3381002D"/>
    <w:rsid w:val="33865643"/>
    <w:rsid w:val="340A7A25"/>
    <w:rsid w:val="3421711A"/>
    <w:rsid w:val="3442156A"/>
    <w:rsid w:val="34A86C01"/>
    <w:rsid w:val="353C625C"/>
    <w:rsid w:val="35A149B6"/>
    <w:rsid w:val="36546006"/>
    <w:rsid w:val="36743E79"/>
    <w:rsid w:val="36DB7A54"/>
    <w:rsid w:val="371116C7"/>
    <w:rsid w:val="376B702A"/>
    <w:rsid w:val="380C65E7"/>
    <w:rsid w:val="3819048E"/>
    <w:rsid w:val="384653A1"/>
    <w:rsid w:val="3848736B"/>
    <w:rsid w:val="38495371"/>
    <w:rsid w:val="38CD6618"/>
    <w:rsid w:val="39111E53"/>
    <w:rsid w:val="3973697B"/>
    <w:rsid w:val="3A314344"/>
    <w:rsid w:val="3BBA1B73"/>
    <w:rsid w:val="3C027831"/>
    <w:rsid w:val="3C335C3C"/>
    <w:rsid w:val="3C8F37BA"/>
    <w:rsid w:val="3C9C7470"/>
    <w:rsid w:val="3CF719D1"/>
    <w:rsid w:val="3CFB2BFE"/>
    <w:rsid w:val="3D8C3FBC"/>
    <w:rsid w:val="3DC513DA"/>
    <w:rsid w:val="3DDF273A"/>
    <w:rsid w:val="3EB9673D"/>
    <w:rsid w:val="3EDB5A73"/>
    <w:rsid w:val="3F33629E"/>
    <w:rsid w:val="3F4F5CB9"/>
    <w:rsid w:val="3F79D9B2"/>
    <w:rsid w:val="3FAFBE20"/>
    <w:rsid w:val="3FE7E9D6"/>
    <w:rsid w:val="3FEE50EA"/>
    <w:rsid w:val="40714F85"/>
    <w:rsid w:val="40FD6A64"/>
    <w:rsid w:val="41013860"/>
    <w:rsid w:val="41524DB6"/>
    <w:rsid w:val="42246753"/>
    <w:rsid w:val="42DD0AFB"/>
    <w:rsid w:val="43727992"/>
    <w:rsid w:val="44004F9E"/>
    <w:rsid w:val="465515D1"/>
    <w:rsid w:val="46641814"/>
    <w:rsid w:val="472C45CF"/>
    <w:rsid w:val="48B06F92"/>
    <w:rsid w:val="493059DD"/>
    <w:rsid w:val="498B355B"/>
    <w:rsid w:val="49D56585"/>
    <w:rsid w:val="49FD0F8E"/>
    <w:rsid w:val="4A0751ED"/>
    <w:rsid w:val="4AE27323"/>
    <w:rsid w:val="4BC46CA2"/>
    <w:rsid w:val="4BE11211"/>
    <w:rsid w:val="4D2C252E"/>
    <w:rsid w:val="4D641BF8"/>
    <w:rsid w:val="4E0658E6"/>
    <w:rsid w:val="50087DC1"/>
    <w:rsid w:val="50250266"/>
    <w:rsid w:val="50646F2B"/>
    <w:rsid w:val="50A82C45"/>
    <w:rsid w:val="50AF5D81"/>
    <w:rsid w:val="52DC5653"/>
    <w:rsid w:val="534E1882"/>
    <w:rsid w:val="53980081"/>
    <w:rsid w:val="53E06252"/>
    <w:rsid w:val="544B35B6"/>
    <w:rsid w:val="55A82D9F"/>
    <w:rsid w:val="568D446F"/>
    <w:rsid w:val="56FE00DA"/>
    <w:rsid w:val="57090EB4"/>
    <w:rsid w:val="581A7F84"/>
    <w:rsid w:val="58A3441E"/>
    <w:rsid w:val="58F267A1"/>
    <w:rsid w:val="591744C4"/>
    <w:rsid w:val="597E2795"/>
    <w:rsid w:val="59BA6CB3"/>
    <w:rsid w:val="5A6D106D"/>
    <w:rsid w:val="5A8C7EF4"/>
    <w:rsid w:val="5ADD173D"/>
    <w:rsid w:val="5AE66844"/>
    <w:rsid w:val="5C4307BC"/>
    <w:rsid w:val="5C590EB4"/>
    <w:rsid w:val="5CA27422"/>
    <w:rsid w:val="5CBED3FD"/>
    <w:rsid w:val="5D06720B"/>
    <w:rsid w:val="5D4E60FF"/>
    <w:rsid w:val="5DC10EA2"/>
    <w:rsid w:val="5DD619A0"/>
    <w:rsid w:val="5EADCD1A"/>
    <w:rsid w:val="5F585836"/>
    <w:rsid w:val="5FEF49CC"/>
    <w:rsid w:val="5FF05552"/>
    <w:rsid w:val="618E54C4"/>
    <w:rsid w:val="619535D9"/>
    <w:rsid w:val="61E33ADD"/>
    <w:rsid w:val="629E17B2"/>
    <w:rsid w:val="63AA4467"/>
    <w:rsid w:val="63B212A3"/>
    <w:rsid w:val="63B76FCF"/>
    <w:rsid w:val="64410F8F"/>
    <w:rsid w:val="647A1DAB"/>
    <w:rsid w:val="64CF659A"/>
    <w:rsid w:val="65E322FD"/>
    <w:rsid w:val="66091638"/>
    <w:rsid w:val="660D2ED6"/>
    <w:rsid w:val="663A283E"/>
    <w:rsid w:val="66976C44"/>
    <w:rsid w:val="66B50838"/>
    <w:rsid w:val="672616B4"/>
    <w:rsid w:val="68294213"/>
    <w:rsid w:val="69A53B2F"/>
    <w:rsid w:val="6ACD0E86"/>
    <w:rsid w:val="6B3709F5"/>
    <w:rsid w:val="6B601CFA"/>
    <w:rsid w:val="6B79100E"/>
    <w:rsid w:val="6BF84629"/>
    <w:rsid w:val="6C033A1C"/>
    <w:rsid w:val="6CA4287F"/>
    <w:rsid w:val="6CD10672"/>
    <w:rsid w:val="6CEE52C1"/>
    <w:rsid w:val="6D6F4477"/>
    <w:rsid w:val="6DDA5A01"/>
    <w:rsid w:val="6DEB3BCA"/>
    <w:rsid w:val="6EC66318"/>
    <w:rsid w:val="6EE7766E"/>
    <w:rsid w:val="6F184237"/>
    <w:rsid w:val="6F5002D8"/>
    <w:rsid w:val="6FEEA25D"/>
    <w:rsid w:val="6FFFDAAB"/>
    <w:rsid w:val="708239E7"/>
    <w:rsid w:val="70A72179"/>
    <w:rsid w:val="715F313D"/>
    <w:rsid w:val="72220D4F"/>
    <w:rsid w:val="727A7426"/>
    <w:rsid w:val="72FB055A"/>
    <w:rsid w:val="72FD42D3"/>
    <w:rsid w:val="736B3932"/>
    <w:rsid w:val="7375030D"/>
    <w:rsid w:val="73D05762"/>
    <w:rsid w:val="740B2A1F"/>
    <w:rsid w:val="75022074"/>
    <w:rsid w:val="7560645A"/>
    <w:rsid w:val="75F776FF"/>
    <w:rsid w:val="75FD6C16"/>
    <w:rsid w:val="75FF78EE"/>
    <w:rsid w:val="76EF03D6"/>
    <w:rsid w:val="772C33D8"/>
    <w:rsid w:val="77860D3A"/>
    <w:rsid w:val="778B7210"/>
    <w:rsid w:val="7A0D129F"/>
    <w:rsid w:val="7A560E98"/>
    <w:rsid w:val="7AC758F2"/>
    <w:rsid w:val="7AD41DBD"/>
    <w:rsid w:val="7B701D01"/>
    <w:rsid w:val="7B724793"/>
    <w:rsid w:val="7C3C5E6C"/>
    <w:rsid w:val="7C743857"/>
    <w:rsid w:val="7CC145C3"/>
    <w:rsid w:val="7CC85951"/>
    <w:rsid w:val="7D9F66B2"/>
    <w:rsid w:val="7DC7089B"/>
    <w:rsid w:val="7DEA37BD"/>
    <w:rsid w:val="7E0806FB"/>
    <w:rsid w:val="7E5B093A"/>
    <w:rsid w:val="7E916B3D"/>
    <w:rsid w:val="7EB5D3E7"/>
    <w:rsid w:val="7ED350D7"/>
    <w:rsid w:val="7EF73F55"/>
    <w:rsid w:val="7F5F7071"/>
    <w:rsid w:val="7F7C759A"/>
    <w:rsid w:val="7F7F4DF3"/>
    <w:rsid w:val="7FCF500A"/>
    <w:rsid w:val="7FD91C23"/>
    <w:rsid w:val="7FFA0518"/>
    <w:rsid w:val="8F6230F2"/>
    <w:rsid w:val="BA7B23C6"/>
    <w:rsid w:val="BFD464FA"/>
    <w:rsid w:val="C7C332D8"/>
    <w:rsid w:val="EFCFC741"/>
    <w:rsid w:val="F5DF5C21"/>
    <w:rsid w:val="FBA5ED7E"/>
    <w:rsid w:val="FEDEF35E"/>
    <w:rsid w:val="FF7B7BEB"/>
    <w:rsid w:val="FFCFE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character" w:styleId="10">
    <w:name w:val="FollowedHyperlink"/>
    <w:basedOn w:val="8"/>
    <w:qFormat/>
    <w:uiPriority w:val="0"/>
    <w:rPr>
      <w:color w:val="00000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000000"/>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character" w:styleId="17">
    <w:name w:val="HTML Keyboard"/>
    <w:basedOn w:val="8"/>
    <w:qFormat/>
    <w:uiPriority w:val="0"/>
    <w:rPr>
      <w:rFonts w:hint="default" w:ascii="Monaco" w:hAnsi="Monaco" w:eastAsia="Monaco" w:cs="Monaco"/>
      <w:color w:val="FFFFFF"/>
      <w:sz w:val="21"/>
      <w:szCs w:val="21"/>
      <w:shd w:val="clear" w:fill="333333"/>
    </w:rPr>
  </w:style>
  <w:style w:type="character" w:styleId="18">
    <w:name w:val="HTML Sample"/>
    <w:basedOn w:val="8"/>
    <w:qFormat/>
    <w:uiPriority w:val="0"/>
    <w:rPr>
      <w:rFonts w:ascii="Monaco" w:hAnsi="Monaco" w:eastAsia="Monaco" w:cs="Monaco"/>
      <w:sz w:val="21"/>
      <w:szCs w:val="21"/>
      <w:shd w:val="clear" w:fill="000000"/>
    </w:rPr>
  </w:style>
  <w:style w:type="character" w:customStyle="1" w:styleId="19">
    <w:name w:val="name"/>
    <w:basedOn w:val="8"/>
    <w:qFormat/>
    <w:uiPriority w:val="0"/>
    <w:rPr>
      <w:color w:val="6A6A6A"/>
      <w:u w:val="single"/>
    </w:rPr>
  </w:style>
  <w:style w:type="character" w:customStyle="1" w:styleId="20">
    <w:name w:val="bg02"/>
    <w:basedOn w:val="8"/>
    <w:qFormat/>
    <w:uiPriority w:val="0"/>
  </w:style>
  <w:style w:type="character" w:customStyle="1" w:styleId="21">
    <w:name w:val="m01"/>
    <w:basedOn w:val="8"/>
    <w:qFormat/>
    <w:uiPriority w:val="0"/>
  </w:style>
  <w:style w:type="character" w:customStyle="1" w:styleId="22">
    <w:name w:val="m011"/>
    <w:basedOn w:val="8"/>
    <w:qFormat/>
    <w:uiPriority w:val="0"/>
  </w:style>
  <w:style w:type="character" w:customStyle="1" w:styleId="23">
    <w:name w:val="font"/>
    <w:basedOn w:val="8"/>
    <w:qFormat/>
    <w:uiPriority w:val="0"/>
  </w:style>
  <w:style w:type="character" w:customStyle="1" w:styleId="24">
    <w:name w:val="font1"/>
    <w:basedOn w:val="8"/>
    <w:qFormat/>
    <w:uiPriority w:val="0"/>
  </w:style>
  <w:style w:type="character" w:customStyle="1" w:styleId="25">
    <w:name w:val="dates"/>
    <w:basedOn w:val="8"/>
    <w:qFormat/>
    <w:uiPriority w:val="0"/>
  </w:style>
  <w:style w:type="character" w:customStyle="1" w:styleId="26">
    <w:name w:val="hover17"/>
    <w:basedOn w:val="8"/>
    <w:qFormat/>
    <w:uiPriority w:val="0"/>
    <w:rPr>
      <w:color w:val="015293"/>
    </w:rPr>
  </w:style>
  <w:style w:type="character" w:customStyle="1" w:styleId="27">
    <w:name w:val="laypage_curr"/>
    <w:basedOn w:val="8"/>
    <w:qFormat/>
    <w:uiPriority w:val="0"/>
    <w:rPr>
      <w:color w:val="FFFDF4"/>
      <w:shd w:val="clear" w:fill="0B67A6"/>
    </w:rPr>
  </w:style>
  <w:style w:type="character" w:customStyle="1" w:styleId="28">
    <w:name w:val="tabg"/>
    <w:basedOn w:val="8"/>
    <w:qFormat/>
    <w:uiPriority w:val="0"/>
    <w:rPr>
      <w:color w:val="FFFFFF"/>
      <w:sz w:val="27"/>
      <w:szCs w:val="27"/>
    </w:rPr>
  </w:style>
  <w:style w:type="character" w:customStyle="1" w:styleId="29">
    <w:name w:val="bg01"/>
    <w:basedOn w:val="8"/>
    <w:qFormat/>
    <w:uiPriority w:val="0"/>
  </w:style>
  <w:style w:type="character" w:customStyle="1" w:styleId="30">
    <w:name w:val="more4"/>
    <w:basedOn w:val="8"/>
    <w:qFormat/>
    <w:uiPriority w:val="0"/>
    <w:rPr>
      <w:color w:val="666666"/>
      <w:sz w:val="18"/>
      <w:szCs w:val="18"/>
    </w:rPr>
  </w:style>
  <w:style w:type="character" w:customStyle="1" w:styleId="31">
    <w:name w:val="input-bitian"/>
    <w:basedOn w:val="8"/>
    <w:qFormat/>
    <w:uiPriority w:val="0"/>
    <w:rPr>
      <w:color w:val="F0002D"/>
      <w:sz w:val="18"/>
      <w:szCs w:val="18"/>
    </w:rPr>
  </w:style>
  <w:style w:type="character" w:customStyle="1" w:styleId="32">
    <w:name w:val="nth-child(3)"/>
    <w:basedOn w:val="8"/>
    <w:qFormat/>
    <w:uiPriority w:val="0"/>
  </w:style>
  <w:style w:type="character" w:customStyle="1" w:styleId="33">
    <w:name w:val="current11"/>
    <w:basedOn w:val="8"/>
    <w:qFormat/>
    <w:uiPriority w:val="0"/>
    <w:rPr>
      <w:color w:val="FFFFFF"/>
      <w:bdr w:val="single" w:color="3090F1" w:sz="6" w:space="0"/>
      <w:shd w:val="clear" w:fill="3090F1"/>
    </w:rPr>
  </w:style>
  <w:style w:type="character" w:customStyle="1" w:styleId="34">
    <w:name w:val="nth-child(2)"/>
    <w:basedOn w:val="8"/>
    <w:qFormat/>
    <w:uiPriority w:val="0"/>
  </w:style>
  <w:style w:type="character" w:customStyle="1" w:styleId="35">
    <w:name w:val="nth-child(2)1"/>
    <w:basedOn w:val="8"/>
    <w:qFormat/>
    <w:uiPriority w:val="0"/>
  </w:style>
  <w:style w:type="character" w:customStyle="1" w:styleId="36">
    <w:name w:val="nth-child(1)"/>
    <w:basedOn w:val="8"/>
    <w:qFormat/>
    <w:uiPriority w:val="0"/>
  </w:style>
  <w:style w:type="character" w:customStyle="1" w:styleId="37">
    <w:name w:val="nth-child(1)1"/>
    <w:basedOn w:val="8"/>
    <w:qFormat/>
    <w:uiPriority w:val="0"/>
  </w:style>
  <w:style w:type="character" w:customStyle="1" w:styleId="38">
    <w:name w:val="wx"/>
    <w:basedOn w:val="8"/>
    <w:qFormat/>
    <w:uiPriority w:val="0"/>
    <w:rPr>
      <w:vanish/>
    </w:rPr>
  </w:style>
  <w:style w:type="character" w:customStyle="1" w:styleId="39">
    <w:name w:val="wx1"/>
    <w:basedOn w:val="8"/>
    <w:qFormat/>
    <w:uiPriority w:val="0"/>
  </w:style>
  <w:style w:type="character" w:customStyle="1" w:styleId="40">
    <w:name w:val="detail"/>
    <w:basedOn w:val="8"/>
    <w:qFormat/>
    <w:uiPriority w:val="0"/>
    <w:rPr>
      <w:color w:val="E3482E"/>
      <w:sz w:val="22"/>
      <w:szCs w:val="22"/>
    </w:rPr>
  </w:style>
  <w:style w:type="character" w:customStyle="1" w:styleId="41">
    <w:name w:val="hover11"/>
    <w:basedOn w:val="8"/>
    <w:qFormat/>
    <w:uiPriority w:val="0"/>
    <w:rPr>
      <w:color w:val="FFFFFF"/>
      <w:shd w:val="clear" w:fill="205BB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5855</Words>
  <Characters>6128</Characters>
  <Lines>0</Lines>
  <Paragraphs>0</Paragraphs>
  <TotalTime>2</TotalTime>
  <ScaleCrop>false</ScaleCrop>
  <LinksUpToDate>false</LinksUpToDate>
  <CharactersWithSpaces>6135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2021-01-31T16:39:00Z</dcterms:created>
  <dc:creator>lenovo</dc:creator>
  <cp:lastModifiedBy>哈维尔萨内蒂</cp:lastModifiedBy>
  <cp:lastPrinted>2022-10-09T08:39:00Z</cp:lastPrinted>
  <dcterms:modified xsi:type="dcterms:W3CDTF">2025-12-12T03:09:27Z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328B51D9841E45EFB00DC00502117370</vt:lpwstr>
  </property>
  <property fmtid="{D5CDD505-2E9C-101B-9397-08002B2CF9AE}" pid="4" name="KSOTemplateDocerSaveRecord">
    <vt:lpwstr>eyJoZGlkIjoiOTU4ZTMzODgyOTY2NWYxNjg2MWY1YTdiODhjOGNiN2QiLCJ1c2VySWQiOiIyMzM1MTA4MjMifQ==</vt:lpwstr>
  </property>
</Properties>
</file>