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3597">
      <w:pPr>
        <w:keepNext/>
        <w:keepLines w:val="0"/>
        <w:pageBreakBefore w:val="0"/>
        <w:widowControl/>
        <w:numPr>
          <w:ilvl w:val="0"/>
          <w:numId w:val="0"/>
        </w:numPr>
        <w:kinsoku/>
        <w:wordWrap w:val="0"/>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硚口区人民政府2021年度</w:t>
      </w:r>
    </w:p>
    <w:p w14:paraId="4CC4DBD6">
      <w:pPr>
        <w:keepNext/>
        <w:keepLines w:val="0"/>
        <w:pageBreakBefore w:val="0"/>
        <w:widowControl/>
        <w:numPr>
          <w:ilvl w:val="0"/>
          <w:numId w:val="0"/>
        </w:numPr>
        <w:kinsoku/>
        <w:wordWrap w:val="0"/>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政府信息公开工作年度报告</w:t>
      </w:r>
    </w:p>
    <w:p w14:paraId="1E47B27F">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p>
    <w:p w14:paraId="630DAFF9">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根据《中华人民共和国政府信息公开条例》第五十条规定和国务院办公厅政府信息与政务公开办公室关于印发《中华人民共和国政府信息公开工作年度报告格式》的通知（国办公开办函﹝2021﹞30号）要求，综合硚口区政府各部门政府信息公开情况，编制本报告。数据统计期限为2021年1月1日至2021年12月31日。报告全文包括政府信息公开总体情况、主动公开政府信息情况、收到和处理政府信息公开申请情况、政府信息公开行政复议和行政诉讼情况、存在的主要问题及改进情况、其他需要报告的事项等六个部分。本报告的电子版可在武汉市硚口区人民政府门户网站（https://www.qiaokou.gov.cn）政府信息公开专栏查阅。如对本报告有疑问，请与硚口区政务服务和大数据管理局联系（地址：湖北省武汉市硚口区韩家墩街道解放大道213号，邮编：430030，电话：027-83616771）。</w:t>
      </w:r>
    </w:p>
    <w:p w14:paraId="1E8A7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一、总体情况</w:t>
      </w:r>
    </w:p>
    <w:p w14:paraId="7CD119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硚口区政务公开工作以习近平新时代中国特色社会主义思想为指导，紧紧围绕党的十九大和十九届历次全会精神，认真贯彻落实国家、省、市推进政务公开的决策部署。紧扣政府信息公开条例实施，扎实有效推进政府信息公开工作，提升政务公开质量实效。区门户网站连续四年被新华社评为“中国领先政务网站——区县政府门户网站第一名”。</w:t>
      </w:r>
    </w:p>
    <w:p w14:paraId="57555B3C">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认真做好政府信息主动公开工作</w:t>
      </w:r>
    </w:p>
    <w:p w14:paraId="3318FC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2021年，硚口区人民政府门户网站信息更新总量为3568条。全区19家单位在门户网站发布26个试点领域基层政务公开目录。编制形成《硚口区政府网站及信息公开主体单位职责分工表》。</w:t>
      </w:r>
    </w:p>
    <w:p w14:paraId="036420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（二）依申请公开情况</w:t>
      </w:r>
    </w:p>
    <w:p w14:paraId="523139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结合硚口区工作实际，更新《硚口区人民政府信息公开申请表》，制定符合工作实情的《政府信息公开申请接收回执》《依申请公开信件签收记录表》《依申请公开答复书签收记录表》和《政府依申请公开办理流程图》。在硚口区政务服务中心一楼大厅设置政务公开体验专区，专区内配备电脑、打印机、桌椅、自助查询等设备，提供政府公报、办事指南汇编、基层领域政务公开目录汇编。制定《硚口区政府非税收入征收管理系统缴费流程》。</w:t>
      </w:r>
    </w:p>
    <w:p w14:paraId="150FC5E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（三）切实加强政府信息公开平台建设</w:t>
      </w:r>
    </w:p>
    <w:p w14:paraId="29B326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 xml:space="preserve">1、分级分类、利企便民，推进政府网站优质规范发展。紧紧围绕“分级分类、问题导向、利企便民、开放创新、集约节约”的政府网站建设基本原则，全面优化政府网站栏目设置。2021年9月22日，硚口区门户网站全面改版，共上线534个栏目。     </w:t>
      </w:r>
    </w:p>
    <w:p w14:paraId="00DE09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2、整体协同、响应迅速的政务新媒体矩阵体系建设。目前，全区纳入监管的政务新媒体账号有16个，已注销关停新媒体账号13个，各单位严格按照至少两周更新一次的频率进行更新。</w:t>
      </w:r>
    </w:p>
    <w:p w14:paraId="3DD7F7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（四）信息管理方面</w:t>
      </w:r>
    </w:p>
    <w:p w14:paraId="06FAC9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楷体" w:hAnsi="楷体" w:eastAsia="楷体" w:cs="楷体"/>
          <w:sz w:val="32"/>
          <w:szCs w:val="32"/>
          <w:highlight w:val="none"/>
          <w:lang w:val="en-US" w:eastAsia="zh-CN"/>
        </w:rPr>
      </w:pPr>
      <w:r>
        <w:rPr>
          <w:rFonts w:hint="eastAsia" w:ascii="仿宋" w:hAnsi="仿宋" w:eastAsia="仿宋" w:cs="仿宋"/>
          <w:kern w:val="2"/>
          <w:sz w:val="32"/>
          <w:szCs w:val="32"/>
          <w:highlight w:val="none"/>
          <w:lang w:val="en-US" w:eastAsia="zh-CN"/>
        </w:rPr>
        <w:t>积极争取省、市支持，实现区级网站与省政务服务网信息资源共享，指导各街道、各部门开展网站规范化、标准化建设；在区政府网站“信息公开”中开辟专栏，集中发布规范性文件，并对废止文件进行定期清理。</w:t>
      </w:r>
    </w:p>
    <w:p w14:paraId="6E998354">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监督保障情况</w:t>
      </w:r>
    </w:p>
    <w:p w14:paraId="3EC4FE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是加强对政府信息公开工作的日常指导和监督检查。每月对区政府门户网站进行检查并要求相关责任单位对照整改。专人定期对全区政府信息公开工作及栏目更新情况进行检查，通过“国务院我为政府网站找错”栏目，收集群众对门户网站发现的错误信息。全年通过公文交换共向各个单位发布信息更新、问题整改、栏目设置、检查结果等文件49个，有效保证了栏目的发布质量。</w:t>
      </w:r>
    </w:p>
    <w:p w14:paraId="74617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二是加强业务培训。组织区政府各部门、各直属机构和各街道对信息公开工作专题进行培训。组织各单位参加“2021年政府信息公开工作年度报告编写培训会”，全区44家单位在硚口区门户网站上发布了2021年度政府信息公开工作年度报告。</w:t>
      </w:r>
    </w:p>
    <w:p w14:paraId="3A2106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b w:val="0"/>
          <w:i w:val="0"/>
          <w:caps w:val="0"/>
          <w:color w:val="auto"/>
          <w:spacing w:val="8"/>
          <w:kern w:val="2"/>
          <w:sz w:val="32"/>
          <w:szCs w:val="32"/>
          <w:highlight w:val="none"/>
          <w:shd w:val="clear" w:color="auto" w:fill="FFFFFF"/>
          <w:lang w:val="en-US" w:eastAsia="zh-CN" w:bidi="ar-SA"/>
        </w:rPr>
      </w:pPr>
      <w:r>
        <w:rPr>
          <w:rFonts w:hint="eastAsia" w:ascii="黑体" w:hAnsi="黑体" w:eastAsia="黑体" w:cs="黑体"/>
          <w:b w:val="0"/>
          <w:bCs w:val="0"/>
          <w:color w:val="333333"/>
          <w:sz w:val="32"/>
          <w:szCs w:val="32"/>
          <w:highlight w:val="none"/>
        </w:rPr>
        <w:t>二、主动公开政府信息情况</w:t>
      </w:r>
    </w:p>
    <w:p w14:paraId="1F5EE8F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在区委区政府的领导和相关部门的大力支持下，硚口区进一步推进“高效办成一件事”改革，深化“五减五通”，加强重点领域改革，提升政务服务质量，拓宽便民服务广度和深度，企业群众满意度和获得感不断增强。硚口区成功创建为全省商事登记确认制、大力推进“一事联办”2项改革先行试点区，国家、省、市媒体多次报道我区高效办成一件事、智能审批、优质服务等典型事例。《硚口区聚力“五个升级”推动“高效办成一件事”》经验做法在省改革简报刊发布。</w:t>
      </w:r>
    </w:p>
    <w:p w14:paraId="47792F3B">
      <w:pPr>
        <w:keepLines w:val="0"/>
        <w:pageBreakBefore w:val="0"/>
        <w:numPr>
          <w:ilvl w:val="0"/>
          <w:numId w:val="0"/>
        </w:numPr>
        <w:kinsoku/>
        <w:overflowPunct/>
        <w:autoSpaceDE/>
        <w:autoSpaceDN/>
        <w:bidi w:val="0"/>
        <w:spacing w:line="560" w:lineRule="exact"/>
        <w:ind w:firstLine="672" w:firstLineChars="200"/>
        <w:jc w:val="both"/>
        <w:textAlignment w:val="auto"/>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pPr>
      <w:r>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t>（一）围绕法治政府建设着力推进公开</w:t>
      </w:r>
    </w:p>
    <w:p w14:paraId="0ED97F4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政府法治建设深入推进，预算管理、审计监督不断加强。硚口区政府门户网站荣获“2021年度中国政务网站领先奖”，连续6年蝉联此殊荣，连续4年位列全国计划单列副省级城市区县第一名。加大各类证明事项清理减并力度，对确需保留的证明事项实行清单管理并向社会公开。 报告期内，区、街道、社区三级共计8535项政务服务事项在政务服务网上发布，提供在线查询、在线办理、服务评价等服务，其中8316项政务服务事项开通在线办理。区、街道、社区三级事项平均可网办率达到97.4%。通过推行“一网通办”，电子证照归集率达100%。做好“互联网+监管”平台事项认领录入工作。截止目前，全区已在湖北省“互联网+监管”平台认领监管事项611项，录入监管行为数据35977条。以行政法规、规章、规范性文件为重点，加强政务信息管理。各部门按照“放管服”改革要求及时立改废，集中统一对外公开并动态更新。逐步整理形成本级政府和本系统制度文件汇编并集中统一对外公开，服务国家治理体系和治理能力现代化。2021年，全区共发布1件涉及公民、法人和其他组织权利义务，具有普遍约束力，在一定期限内反复适用的规范性文件。</w:t>
      </w:r>
    </w:p>
    <w:p w14:paraId="3C2456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（二）围绕高效办成一件事推进</w:t>
      </w:r>
      <w:r>
        <w:rPr>
          <w:rFonts w:hint="eastAsia" w:ascii="楷体" w:hAnsi="楷体" w:eastAsia="楷体" w:cs="楷体"/>
          <w:b w:val="0"/>
          <w:i w:val="0"/>
          <w:caps w:val="0"/>
          <w:color w:val="auto"/>
          <w:spacing w:val="8"/>
          <w:kern w:val="2"/>
          <w:sz w:val="32"/>
          <w:szCs w:val="32"/>
          <w:highlight w:val="none"/>
          <w:shd w:val="clear" w:color="auto" w:fill="FFFFFF"/>
          <w:lang w:val="en-US" w:eastAsia="zh-CN" w:bidi="ar-SA"/>
        </w:rPr>
        <w:t>公开</w:t>
      </w:r>
    </w:p>
    <w:p w14:paraId="2DCBBFE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一是创新审批方式，迈出顶层设计“最先一公里”。筛选出企业群众需求大、涉及面广的高频主题，在全市率先形成 “一事联办”主题112项（含硚口区特色主题12项），覆盖涉企、民生、不动产、工程项目等全部领域，线下和线上全年累计办件量超18万件。颁发全市首张人力资源服务行业综合许可证，在全市率先将政务服务“一业一证”改革延伸至16个行业。区、街道、社区三级全面落实政务服务事项“一窗通办”，聚力流程优化、互联互通、信息共享和办事体验，建成了市、区、街道三级联动的24小时自助政务服务体系，提高政务服务效能。进一步提高“跨域通办”事项数量，2021年在北京市、广州市、东莞市、佛山市、江门市、惠州市、海口市、湛江市、黄冈市、孝感市、鄂州市等11个城市实现跨域通办，事项办件量达652件。在区级政务大厅开设“异地跨市通办”窗口，组织民政、医保、社保、交通、自然规划及窗口工作人员培训119人次。上线武汉市内服务便民服务事项306项、审批事项60项，2021年实现办件79880件。实现政务服务事项由“一次办”向“马上办”、“马上办”向“网上办”、“网上办”向“不用办”推进。全区1393项政务服务事项中“马上办”1172项，占比84.2%；“网上办”1337项，占比96.05%；面向自然人提供现场办理事项“就近办”事项616项，占比78.7％；“一次办”1393项，占比100%。</w:t>
      </w:r>
    </w:p>
    <w:p w14:paraId="2EA100A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二是创新发展思路，走好个性化服务“中间一公里”。商事登记改革步伐加大。企业开办实现一个工作日办结。企业开办与税务业务联办，企业服务专区业务覆盖企业核名、新办、变更、注销全生命周期。探索以“名称自主申报+住所申报承诺+标准化经营范围”为主要内容的登记确认服务，推动企业设立登记由行政许可向行政确认转变。推出了全市首台个体工商户营业执照智能审批机和全市首台企业智能审批机，实现申报材料免提交和营业执照办理“510”模式，即“5分钟填报信息、1分钟出营业执照、0费用”。市场主体存量首次突破10万户，企业类市场主体达到3.4万户。</w:t>
      </w:r>
    </w:p>
    <w:p w14:paraId="1B985C5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工程建设项目审批改革持续深化。从立项到施工许可，不断精简审批环节、精简申请材料、缩短全流程办理时间。“建筑工程施工许可”审批实现立等可取。告知承诺制办理流程进一步完善。按照“承诺可开工”的要求，对区内符合条件的项目开展前期各项工作。建立硚口区联合验收办事标准和标准化工作机制，优化工程建设项目联合验收等“一事联办”清单。构建重点项目“绿色通道”，提前介入服务，减少企业跑动次数，提高项目落地效率。</w:t>
      </w:r>
    </w:p>
    <w:p w14:paraId="0A5E39A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三是创新服务理念，跑完优化政务服务“最后一公里”。在政务大厅开辟老年人、残障人士等特殊人群办理专区、绿色通道。坚持推行一窗式服务、提升管家服务、优化定制服务、完善智能服务，实行首问责任制，倡导礼仪服务“七步曲”，开展“五优”创建评比，主动为办事群众提供“早晚弹性办、午间延时办、周六接着办”等全天候、常态化延时服务，实现政务服务提档升级。坚持线上为主，线下为辅、预约办理，审批不见面，服务总在线，扎实做好疫情防控常态化管理。在文明创建检查中多次名列全市前茅。</w:t>
      </w:r>
    </w:p>
    <w:p w14:paraId="70F9FF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（三）围绕优化营商环境推进公开</w:t>
      </w:r>
    </w:p>
    <w:p w14:paraId="2C1F6B1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进一步推进优化营商环境工作，以高效办成一件事为主线，以作风建设为突破口，切实解决市场主体和群众办事的“堵点”“痛点”“难点”，用心用情用力解决企业困难事、烦心事，切实在办实事、开新局上取得明显成效。坚持以思想破冰引领发展突围，以优化制度供给推进营商环境革命，对标国际国内一流标准，聚焦企业群众办事需求。持续发力，久久为功，努力打造营商环境最优城区，为“十四五”开好局、起好步，开启硚口复兴新征程提供坚实保障。</w:t>
      </w:r>
    </w:p>
    <w:p w14:paraId="22295F9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一是更大力度优化市场环境。深化商事制度改革。深化“证照分离”改革，全面推行市场主体住所申报承诺制，实现“一证准营、一码亮证”；提升企业开办注销便利度，推进企业开办事项“分时、分次”办理，同步免费发放电子营业执照、电子印章，向新开办企业免费发放税务Ukey，简易注销登记公告时间压缩为20天；优化招投标服务。实施“评定分离”改革，全面推行电子招标投标、不见面开标，推进远程异地评标常态化。扩大公共资源交易平台覆盖范围，完善招投标投诉处理机制，严厉打击围标、串标行为；提升政府采购效率和服务效能，强化采购人主体责任，完善政府采购监督管理机制。实施采购意向公开制度，免收投标保证金和履约保证金。持续开展政府采购合同线上融资，缓解中小企业融资困难，切实减轻市场主体资金负担。</w:t>
      </w:r>
    </w:p>
    <w:p w14:paraId="265C923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二是更大力度提升政务服务质效。推进高效办成一件事，加快电子证照共享应用，推进电子签章、电子档案应用。完善政务服务“好差评”机制，实现“好差评”实名差评回访整改率达到100%。深化工程建设项目审批制度全流程、全覆盖改革，进一步提升工程建设项目审批效率和服务水平。优化登记财产服务，深化“三个集成”、“互联网+不动产登记”、“预告登记制度”改革，推进全流程智慧“e网办”，加快推进不动产登记电子证照共享应用。进一步完善服务企业工作机制，推广市场主体服务专员机制，发挥企业直通车作用，实现骨干企业、中小企业全覆盖，更加主动高效地为企业解决问题。</w:t>
      </w:r>
    </w:p>
    <w:p w14:paraId="0EE2AB7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三是更大力度保障信用法治。实行“双随机、一公开”监管全覆盖，推行联合抽查标准化和常态化，扩大联合抽查工作覆盖面。推进“互联网+监管”系统，加快信用体系建设，推动信用信息的广泛应用；加强市场主体司法保护和服务，审慎适用强制措施，为中小投资者提供“一站式”、低成本、多渠道维权救济服务。推进法律服务进园区、进企业；完善办理破产联动制度，深入推进破产工作府院联动，采取有效措施避免引发区域性风险和群体性事件；多元化解矛盾纠纷，加强新业态、新模式的知识产权保护。</w:t>
      </w:r>
    </w:p>
    <w:p w14:paraId="6FE6446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四是更大力度支持企业创新创业。切实减轻企业负担，全面落实减税降费、惠企利企政策，首次挂牌企业的奖励政策，实现有融资需求企业涉税信息“授权即达”；激发创新创业活力，加快建设国家双创示范基地和省级可持续发展实验区。充分发挥中国技术交易所医疗技术中心平台作用，挖掘同济医学院等高校院所资源，加快推进一批重点科技成果落地转化，依托“两用技术”、高投创慧、“D+M”等特色园区，引进一批“专精特新”企业；武汉恒隆广场、云尚国际时尚中心、新世界K11购物艺术中心等重大产业项目开业运营，斯泰兰蒂斯、蚂蚁科技、复星商社等一批世界500强企业纷纷落地，218家首店落户硚口。葛洲坝集团、武汉工贸等5家企业进入武汉企业100强。税收过亿元、过千万元企业分别达到21家、100家，亿元楼宇达到5栋。市场主体突破10万户、企业达到3.4万家。“四上”企业从548家增长到620家。高新技术企业达到190家，完成“个改企”2135家；促进劳动关系和谐稳定。办好武汉大学生“互联网+”创新创业项目大赛，加快推进硚口青年创新创业中心建设，留下大学生1.53万人；进一步扩大对外开放。举办汉正街时尚论坛等展会活动，争取市内免税店布局，提升硚口开放度、影响力。提高外资引进和利用水平。围绕第四届进博会、广交会、华创会、台湾周等平台，加快推进跨境电商高质量发展，加快跨境电商示范建设。支持葛洲坝、远大医药等企业拓展国际业务、开展海外并购，推动对外承包工程发展向产业链高端延伸。</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7FA1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5000" w:type="pct"/>
            <w:gridSpan w:val="4"/>
            <w:shd w:val="clear" w:color="auto" w:fill="C6D9F1"/>
            <w:tcMar>
              <w:left w:w="57" w:type="dxa"/>
              <w:right w:w="57" w:type="dxa"/>
            </w:tcMar>
            <w:vAlign w:val="center"/>
          </w:tcPr>
          <w:p w14:paraId="33B45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第二十条第（一）项</w:t>
            </w:r>
          </w:p>
        </w:tc>
      </w:tr>
      <w:tr w14:paraId="294D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2F81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1250" w:type="pct"/>
            <w:shd w:val="clear" w:color="auto" w:fill="auto"/>
            <w:tcMar>
              <w:left w:w="57" w:type="dxa"/>
              <w:right w:w="57" w:type="dxa"/>
            </w:tcMar>
            <w:vAlign w:val="center"/>
          </w:tcPr>
          <w:p w14:paraId="015CD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w:t>
            </w:r>
            <w:r>
              <w:rPr>
                <w:rFonts w:hint="eastAsia" w:ascii="宋体" w:hAnsi="宋体" w:eastAsia="宋体" w:cs="宋体"/>
                <w:b w:val="0"/>
                <w:bCs w:val="0"/>
                <w:color w:val="333333"/>
                <w:kern w:val="0"/>
                <w:sz w:val="21"/>
                <w:szCs w:val="21"/>
                <w:highlight w:val="none"/>
                <w:lang w:val="en-US" w:eastAsia="zh-CN" w:bidi="ar"/>
              </w:rPr>
              <w:t>制发件数</w:t>
            </w:r>
          </w:p>
        </w:tc>
        <w:tc>
          <w:tcPr>
            <w:tcW w:w="1250" w:type="pct"/>
            <w:shd w:val="clear" w:color="auto" w:fill="auto"/>
            <w:tcMar>
              <w:left w:w="57" w:type="dxa"/>
              <w:right w:w="57" w:type="dxa"/>
            </w:tcMar>
            <w:vAlign w:val="center"/>
          </w:tcPr>
          <w:p w14:paraId="7BC25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本年废止件数</w:t>
            </w:r>
          </w:p>
        </w:tc>
        <w:tc>
          <w:tcPr>
            <w:tcW w:w="1250" w:type="pct"/>
            <w:shd w:val="clear" w:color="auto" w:fill="auto"/>
            <w:tcMar>
              <w:left w:w="57" w:type="dxa"/>
              <w:right w:w="57" w:type="dxa"/>
            </w:tcMar>
            <w:vAlign w:val="center"/>
          </w:tcPr>
          <w:p w14:paraId="5CDB5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现行有效件</w:t>
            </w:r>
            <w:r>
              <w:rPr>
                <w:rFonts w:hint="eastAsia" w:ascii="宋体" w:hAnsi="宋体" w:eastAsia="宋体" w:cs="宋体"/>
                <w:b w:val="0"/>
                <w:bCs w:val="0"/>
                <w:color w:val="333333"/>
                <w:kern w:val="0"/>
                <w:sz w:val="21"/>
                <w:szCs w:val="21"/>
                <w:highlight w:val="none"/>
                <w:lang w:val="en-US" w:eastAsia="zh-CN" w:bidi="ar"/>
              </w:rPr>
              <w:t>数</w:t>
            </w:r>
          </w:p>
        </w:tc>
      </w:tr>
      <w:tr w14:paraId="1CF2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667B9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规章</w:t>
            </w:r>
          </w:p>
        </w:tc>
        <w:tc>
          <w:tcPr>
            <w:tcW w:w="1250" w:type="pct"/>
            <w:shd w:val="clear" w:color="auto" w:fill="auto"/>
            <w:tcMar>
              <w:left w:w="57" w:type="dxa"/>
              <w:right w:w="57" w:type="dxa"/>
            </w:tcMar>
            <w:vAlign w:val="center"/>
          </w:tcPr>
          <w:p w14:paraId="25B2B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c>
          <w:tcPr>
            <w:tcW w:w="1250" w:type="pct"/>
            <w:shd w:val="clear" w:color="auto" w:fill="auto"/>
            <w:tcMar>
              <w:left w:w="57" w:type="dxa"/>
              <w:right w:w="57" w:type="dxa"/>
            </w:tcMar>
            <w:vAlign w:val="center"/>
          </w:tcPr>
          <w:p w14:paraId="453E8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c>
          <w:tcPr>
            <w:tcW w:w="1250" w:type="pct"/>
            <w:shd w:val="clear" w:color="auto" w:fill="auto"/>
            <w:tcMar>
              <w:left w:w="57" w:type="dxa"/>
              <w:right w:w="57" w:type="dxa"/>
            </w:tcMar>
            <w:vAlign w:val="center"/>
          </w:tcPr>
          <w:p w14:paraId="1FC67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0</w:t>
            </w:r>
          </w:p>
        </w:tc>
      </w:tr>
      <w:tr w14:paraId="557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09BF7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行政规范性文件</w:t>
            </w:r>
          </w:p>
        </w:tc>
        <w:tc>
          <w:tcPr>
            <w:tcW w:w="1250" w:type="pct"/>
            <w:shd w:val="clear" w:color="auto" w:fill="auto"/>
            <w:tcMar>
              <w:left w:w="57" w:type="dxa"/>
              <w:right w:w="57" w:type="dxa"/>
            </w:tcMar>
            <w:vAlign w:val="center"/>
          </w:tcPr>
          <w:p w14:paraId="44222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w:t>
            </w:r>
          </w:p>
        </w:tc>
        <w:tc>
          <w:tcPr>
            <w:tcW w:w="1250" w:type="pct"/>
            <w:shd w:val="clear" w:color="auto" w:fill="auto"/>
            <w:tcMar>
              <w:left w:w="57" w:type="dxa"/>
              <w:right w:w="57" w:type="dxa"/>
            </w:tcMar>
            <w:vAlign w:val="center"/>
          </w:tcPr>
          <w:p w14:paraId="616D9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7</w:t>
            </w:r>
          </w:p>
        </w:tc>
        <w:tc>
          <w:tcPr>
            <w:tcW w:w="1250" w:type="pct"/>
            <w:shd w:val="clear" w:color="auto" w:fill="auto"/>
            <w:tcMar>
              <w:left w:w="57" w:type="dxa"/>
              <w:right w:w="57" w:type="dxa"/>
            </w:tcMar>
            <w:vAlign w:val="center"/>
          </w:tcPr>
          <w:p w14:paraId="5A668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eastAsia"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5</w:t>
            </w:r>
          </w:p>
        </w:tc>
      </w:tr>
      <w:tr w14:paraId="342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5DB1F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第二十条第（五）项</w:t>
            </w:r>
          </w:p>
        </w:tc>
      </w:tr>
      <w:tr w14:paraId="3E24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7AD55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55514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本年处理决定数量</w:t>
            </w:r>
          </w:p>
        </w:tc>
      </w:tr>
      <w:tr w14:paraId="754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01960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行政许可</w:t>
            </w:r>
          </w:p>
        </w:tc>
        <w:tc>
          <w:tcPr>
            <w:tcW w:w="3750" w:type="pct"/>
            <w:gridSpan w:val="3"/>
            <w:shd w:val="clear" w:color="auto" w:fill="auto"/>
            <w:tcMar>
              <w:left w:w="57" w:type="dxa"/>
              <w:right w:w="57" w:type="dxa"/>
            </w:tcMar>
            <w:vAlign w:val="center"/>
          </w:tcPr>
          <w:p w14:paraId="4BFBB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eastAsia="宋体" w:cs="宋体"/>
                <w:b w:val="0"/>
                <w:bCs w:val="0"/>
                <w:color w:val="000000"/>
                <w:kern w:val="0"/>
                <w:sz w:val="21"/>
                <w:szCs w:val="21"/>
                <w:highlight w:val="none"/>
                <w:lang w:val="en-US" w:eastAsia="zh-CN" w:bidi="ar"/>
              </w:rPr>
              <w:t>39125</w:t>
            </w:r>
          </w:p>
        </w:tc>
      </w:tr>
      <w:tr w14:paraId="0A4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30EA6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第二十条第（六）项</w:t>
            </w:r>
          </w:p>
        </w:tc>
      </w:tr>
      <w:tr w14:paraId="349E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3EE55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leftChars="0" w:right="0" w:rightChars="0" w:firstLine="0" w:firstLineChars="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79F46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leftChars="0" w:right="0" w:rightChars="0" w:firstLine="0" w:firstLineChars="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本年处理决定数量</w:t>
            </w:r>
          </w:p>
        </w:tc>
      </w:tr>
      <w:tr w14:paraId="7009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5B074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行政处罚</w:t>
            </w:r>
          </w:p>
        </w:tc>
        <w:tc>
          <w:tcPr>
            <w:tcW w:w="3750" w:type="pct"/>
            <w:gridSpan w:val="3"/>
            <w:shd w:val="clear" w:color="auto" w:fill="auto"/>
            <w:tcMar>
              <w:left w:w="57" w:type="dxa"/>
              <w:right w:w="57" w:type="dxa"/>
            </w:tcMar>
            <w:vAlign w:val="center"/>
          </w:tcPr>
          <w:p w14:paraId="7D56B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cs="宋体"/>
                <w:b w:val="0"/>
                <w:bCs w:val="0"/>
                <w:color w:val="000000"/>
                <w:kern w:val="0"/>
                <w:sz w:val="21"/>
                <w:szCs w:val="21"/>
                <w:highlight w:val="none"/>
                <w:lang w:val="en-US" w:eastAsia="zh-CN" w:bidi="ar"/>
              </w:rPr>
              <w:t>2567</w:t>
            </w:r>
          </w:p>
        </w:tc>
      </w:tr>
      <w:tr w14:paraId="69E4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7A20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行政强制</w:t>
            </w:r>
          </w:p>
        </w:tc>
        <w:tc>
          <w:tcPr>
            <w:tcW w:w="3750" w:type="pct"/>
            <w:gridSpan w:val="3"/>
            <w:shd w:val="clear" w:color="auto" w:fill="auto"/>
            <w:tcMar>
              <w:left w:w="57" w:type="dxa"/>
              <w:right w:w="57" w:type="dxa"/>
            </w:tcMar>
            <w:vAlign w:val="center"/>
          </w:tcPr>
          <w:p w14:paraId="74D0A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rFonts w:hint="default"/>
                <w:b w:val="0"/>
                <w:bCs w:val="0"/>
                <w:sz w:val="21"/>
                <w:szCs w:val="21"/>
                <w:highlight w:val="none"/>
                <w:lang w:val="en-US"/>
              </w:rPr>
            </w:pPr>
            <w:r>
              <w:rPr>
                <w:rFonts w:hint="eastAsia" w:ascii="宋体" w:hAnsi="宋体" w:cs="宋体"/>
                <w:b w:val="0"/>
                <w:bCs w:val="0"/>
                <w:color w:val="000000"/>
                <w:kern w:val="0"/>
                <w:sz w:val="21"/>
                <w:szCs w:val="21"/>
                <w:highlight w:val="none"/>
                <w:lang w:val="en-US" w:eastAsia="zh-CN" w:bidi="ar"/>
              </w:rPr>
              <w:t>164</w:t>
            </w:r>
          </w:p>
        </w:tc>
      </w:tr>
      <w:tr w14:paraId="46A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5000" w:type="pct"/>
            <w:gridSpan w:val="4"/>
            <w:shd w:val="clear" w:color="auto" w:fill="C6D9F1"/>
            <w:tcMar>
              <w:left w:w="57" w:type="dxa"/>
              <w:right w:w="57" w:type="dxa"/>
            </w:tcMar>
            <w:vAlign w:val="center"/>
          </w:tcPr>
          <w:p w14:paraId="2293F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第二十条第（八）项</w:t>
            </w:r>
          </w:p>
        </w:tc>
      </w:tr>
      <w:tr w14:paraId="5BAD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18FB5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信息内容</w:t>
            </w:r>
          </w:p>
        </w:tc>
        <w:tc>
          <w:tcPr>
            <w:tcW w:w="3750" w:type="pct"/>
            <w:gridSpan w:val="3"/>
            <w:shd w:val="clear" w:color="auto" w:fill="auto"/>
            <w:tcMar>
              <w:left w:w="57" w:type="dxa"/>
              <w:right w:w="57" w:type="dxa"/>
            </w:tcMar>
            <w:vAlign w:val="center"/>
          </w:tcPr>
          <w:p w14:paraId="7A92CD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center"/>
              <w:textAlignment w:val="auto"/>
              <w:rPr>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本年收费金额（单位：万元）</w:t>
            </w:r>
          </w:p>
        </w:tc>
      </w:tr>
      <w:tr w14:paraId="340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250" w:type="pct"/>
            <w:shd w:val="clear" w:color="auto" w:fill="auto"/>
            <w:tcMar>
              <w:left w:w="57" w:type="dxa"/>
              <w:right w:w="57" w:type="dxa"/>
            </w:tcMar>
            <w:vAlign w:val="center"/>
          </w:tcPr>
          <w:p w14:paraId="41281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560" w:lineRule="exact"/>
              <w:ind w:left="0" w:right="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行政事业性收费</w:t>
            </w:r>
          </w:p>
        </w:tc>
        <w:tc>
          <w:tcPr>
            <w:tcW w:w="3750" w:type="pct"/>
            <w:gridSpan w:val="3"/>
            <w:shd w:val="clear" w:color="auto" w:fill="auto"/>
            <w:tcMar>
              <w:left w:w="57" w:type="dxa"/>
              <w:right w:w="57" w:type="dxa"/>
            </w:tcMar>
            <w:vAlign w:val="center"/>
          </w:tcPr>
          <w:p w14:paraId="0B0C7055">
            <w:pPr>
              <w:keepLines w:val="0"/>
              <w:pageBreakBefore w:val="0"/>
              <w:kinsoku/>
              <w:overflowPunct/>
              <w:bidi w:val="0"/>
              <w:spacing w:line="560" w:lineRule="exact"/>
              <w:jc w:val="center"/>
              <w:textAlignment w:val="auto"/>
              <w:rPr>
                <w:rFonts w:hint="default" w:ascii="宋体" w:hAnsi="宋体" w:eastAsia="宋体" w:cs="宋体"/>
                <w:b w:val="0"/>
                <w:bCs w:val="0"/>
                <w:color w:val="333333"/>
                <w:sz w:val="21"/>
                <w:szCs w:val="21"/>
                <w:highlight w:val="none"/>
                <w:lang w:val="en-US" w:eastAsia="zh-CN"/>
              </w:rPr>
            </w:pPr>
            <w:r>
              <w:rPr>
                <w:rFonts w:hint="eastAsia" w:ascii="宋体" w:hAnsi="宋体" w:cs="宋体"/>
                <w:b w:val="0"/>
                <w:bCs w:val="0"/>
                <w:color w:val="333333"/>
                <w:sz w:val="21"/>
                <w:szCs w:val="21"/>
                <w:highlight w:val="none"/>
                <w:lang w:val="en-US" w:eastAsia="zh-CN"/>
              </w:rPr>
              <w:t>590.115865</w:t>
            </w:r>
          </w:p>
        </w:tc>
      </w:tr>
    </w:tbl>
    <w:p w14:paraId="449EC6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收到和处理政府信息公开申请情况</w:t>
      </w:r>
    </w:p>
    <w:p w14:paraId="211BDC1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全区2021年共收到依申请公开办件147件，其中2020年结转3件，结转至2022年8件。</w:t>
      </w:r>
    </w:p>
    <w:tbl>
      <w:tblPr>
        <w:tblStyle w:val="7"/>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26"/>
        <w:gridCol w:w="795"/>
        <w:gridCol w:w="2797"/>
        <w:gridCol w:w="558"/>
        <w:gridCol w:w="558"/>
        <w:gridCol w:w="558"/>
        <w:gridCol w:w="558"/>
        <w:gridCol w:w="566"/>
        <w:gridCol w:w="644"/>
        <w:gridCol w:w="634"/>
      </w:tblGrid>
      <w:tr w14:paraId="45E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restart"/>
            <w:noWrap w:val="0"/>
            <w:tcMar>
              <w:left w:w="108" w:type="dxa"/>
              <w:right w:w="108" w:type="dxa"/>
            </w:tcMar>
            <w:vAlign w:val="center"/>
          </w:tcPr>
          <w:p w14:paraId="78301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highlight w:val="none"/>
              </w:rPr>
            </w:pPr>
            <w:r>
              <w:rPr>
                <w:rFonts w:hint="eastAsia" w:ascii="楷体" w:hAnsi="楷体" w:eastAsia="楷体" w:cs="楷体"/>
                <w:color w:val="333333"/>
                <w:kern w:val="0"/>
                <w:sz w:val="20"/>
                <w:szCs w:val="20"/>
                <w:highlight w:val="none"/>
                <w:lang w:val="en-US" w:eastAsia="zh-CN" w:bidi="ar"/>
              </w:rPr>
              <w:t>（本列数据的勾稽关系为：第一项加第二项之和，等于第三项加第四项之和）</w:t>
            </w:r>
          </w:p>
        </w:tc>
        <w:tc>
          <w:tcPr>
            <w:tcW w:w="2240" w:type="pct"/>
            <w:gridSpan w:val="7"/>
            <w:noWrap w:val="0"/>
            <w:vAlign w:val="center"/>
          </w:tcPr>
          <w:p w14:paraId="7F434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申请人情况</w:t>
            </w:r>
          </w:p>
        </w:tc>
      </w:tr>
      <w:tr w14:paraId="73E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continue"/>
            <w:noWrap w:val="0"/>
            <w:tcMar>
              <w:left w:w="108" w:type="dxa"/>
              <w:right w:w="108" w:type="dxa"/>
            </w:tcMar>
            <w:vAlign w:val="center"/>
          </w:tcPr>
          <w:p w14:paraId="558CA7B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07" w:type="pct"/>
            <w:vMerge w:val="restart"/>
            <w:noWrap w:val="0"/>
            <w:vAlign w:val="center"/>
          </w:tcPr>
          <w:p w14:paraId="292F2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自然人</w:t>
            </w:r>
          </w:p>
        </w:tc>
        <w:tc>
          <w:tcPr>
            <w:tcW w:w="1586" w:type="pct"/>
            <w:gridSpan w:val="5"/>
            <w:noWrap w:val="0"/>
            <w:vAlign w:val="center"/>
          </w:tcPr>
          <w:p w14:paraId="431CF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法人或其他组织</w:t>
            </w:r>
          </w:p>
        </w:tc>
        <w:tc>
          <w:tcPr>
            <w:tcW w:w="346" w:type="pct"/>
            <w:vMerge w:val="restart"/>
            <w:noWrap w:val="0"/>
            <w:vAlign w:val="center"/>
          </w:tcPr>
          <w:p w14:paraId="732FF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总计</w:t>
            </w:r>
          </w:p>
        </w:tc>
      </w:tr>
      <w:tr w14:paraId="1999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vMerge w:val="continue"/>
            <w:noWrap w:val="0"/>
            <w:tcMar>
              <w:left w:w="108" w:type="dxa"/>
              <w:right w:w="108" w:type="dxa"/>
            </w:tcMar>
            <w:vAlign w:val="center"/>
          </w:tcPr>
          <w:p w14:paraId="7EDC42C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07" w:type="pct"/>
            <w:vMerge w:val="continue"/>
            <w:noWrap w:val="0"/>
            <w:vAlign w:val="center"/>
          </w:tcPr>
          <w:p w14:paraId="0988F9B7">
            <w:pPr>
              <w:keepLines w:val="0"/>
              <w:pageBreakBefore w:val="0"/>
              <w:kinsoku/>
              <w:overflowPunct/>
              <w:bidi w:val="0"/>
              <w:spacing w:line="240" w:lineRule="auto"/>
              <w:jc w:val="center"/>
              <w:textAlignment w:val="auto"/>
              <w:rPr>
                <w:rFonts w:hint="eastAsia" w:ascii="宋体" w:hAnsi="宋体" w:eastAsia="宋体" w:cs="宋体"/>
                <w:color w:val="333333"/>
                <w:sz w:val="21"/>
                <w:szCs w:val="21"/>
                <w:highlight w:val="none"/>
              </w:rPr>
            </w:pPr>
          </w:p>
        </w:tc>
        <w:tc>
          <w:tcPr>
            <w:tcW w:w="307" w:type="pct"/>
            <w:noWrap w:val="0"/>
            <w:vAlign w:val="center"/>
          </w:tcPr>
          <w:p w14:paraId="11CCE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商业</w:t>
            </w:r>
          </w:p>
          <w:p w14:paraId="2142D5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企业</w:t>
            </w:r>
          </w:p>
        </w:tc>
        <w:tc>
          <w:tcPr>
            <w:tcW w:w="307" w:type="pct"/>
            <w:noWrap w:val="0"/>
            <w:vAlign w:val="center"/>
          </w:tcPr>
          <w:p w14:paraId="13642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科研</w:t>
            </w:r>
          </w:p>
          <w:p w14:paraId="71884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机构</w:t>
            </w:r>
          </w:p>
        </w:tc>
        <w:tc>
          <w:tcPr>
            <w:tcW w:w="307" w:type="pct"/>
            <w:noWrap w:val="0"/>
            <w:vAlign w:val="center"/>
          </w:tcPr>
          <w:p w14:paraId="51592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社会公益组织</w:t>
            </w:r>
          </w:p>
        </w:tc>
        <w:tc>
          <w:tcPr>
            <w:tcW w:w="311" w:type="pct"/>
            <w:noWrap w:val="0"/>
            <w:vAlign w:val="center"/>
          </w:tcPr>
          <w:p w14:paraId="5DA49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法律服务机构</w:t>
            </w:r>
          </w:p>
        </w:tc>
        <w:tc>
          <w:tcPr>
            <w:tcW w:w="353" w:type="pct"/>
            <w:noWrap w:val="0"/>
            <w:vAlign w:val="center"/>
          </w:tcPr>
          <w:p w14:paraId="6792F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其他</w:t>
            </w:r>
          </w:p>
        </w:tc>
        <w:tc>
          <w:tcPr>
            <w:tcW w:w="346" w:type="pct"/>
            <w:vMerge w:val="continue"/>
            <w:noWrap w:val="0"/>
            <w:vAlign w:val="center"/>
          </w:tcPr>
          <w:p w14:paraId="681DDA54">
            <w:pPr>
              <w:keepLines w:val="0"/>
              <w:pageBreakBefore w:val="0"/>
              <w:kinsoku/>
              <w:overflowPunct/>
              <w:bidi w:val="0"/>
              <w:spacing w:line="240" w:lineRule="auto"/>
              <w:jc w:val="center"/>
              <w:textAlignment w:val="auto"/>
              <w:rPr>
                <w:rFonts w:hint="eastAsia" w:ascii="宋体" w:hAnsi="宋体" w:eastAsia="宋体" w:cs="宋体"/>
                <w:color w:val="333333"/>
                <w:sz w:val="21"/>
                <w:szCs w:val="21"/>
                <w:highlight w:val="none"/>
              </w:rPr>
            </w:pPr>
          </w:p>
        </w:tc>
      </w:tr>
      <w:tr w14:paraId="5E71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55E7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一、本年新收政府信息公开申请数量</w:t>
            </w:r>
          </w:p>
        </w:tc>
        <w:tc>
          <w:tcPr>
            <w:tcW w:w="307" w:type="pct"/>
            <w:noWrap w:val="0"/>
            <w:vAlign w:val="center"/>
          </w:tcPr>
          <w:p w14:paraId="654FA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139</w:t>
            </w:r>
          </w:p>
        </w:tc>
        <w:tc>
          <w:tcPr>
            <w:tcW w:w="307" w:type="pct"/>
            <w:noWrap w:val="0"/>
            <w:vAlign w:val="center"/>
          </w:tcPr>
          <w:p w14:paraId="6967F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56E10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DDC5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8425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53" w:type="pct"/>
            <w:noWrap w:val="0"/>
            <w:vAlign w:val="center"/>
          </w:tcPr>
          <w:p w14:paraId="05837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72F9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144</w:t>
            </w:r>
          </w:p>
        </w:tc>
      </w:tr>
      <w:tr w14:paraId="29C8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5EA77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二、上年结转政府信息公开申请数量</w:t>
            </w:r>
          </w:p>
        </w:tc>
        <w:tc>
          <w:tcPr>
            <w:tcW w:w="307" w:type="pct"/>
            <w:noWrap w:val="0"/>
            <w:vAlign w:val="center"/>
          </w:tcPr>
          <w:p w14:paraId="14CD9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0954E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286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99E3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6E89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A74A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38379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r>
      <w:tr w14:paraId="3CA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restart"/>
            <w:noWrap w:val="0"/>
            <w:vAlign w:val="center"/>
          </w:tcPr>
          <w:p w14:paraId="756D7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三、本年度办理结果</w:t>
            </w:r>
          </w:p>
        </w:tc>
        <w:tc>
          <w:tcPr>
            <w:tcW w:w="1975" w:type="pct"/>
            <w:gridSpan w:val="2"/>
            <w:noWrap w:val="0"/>
            <w:vAlign w:val="center"/>
          </w:tcPr>
          <w:p w14:paraId="283E1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（一）予以公开</w:t>
            </w:r>
          </w:p>
        </w:tc>
        <w:tc>
          <w:tcPr>
            <w:tcW w:w="307" w:type="pct"/>
            <w:noWrap w:val="0"/>
            <w:vAlign w:val="center"/>
          </w:tcPr>
          <w:p w14:paraId="30C19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42</w:t>
            </w:r>
          </w:p>
        </w:tc>
        <w:tc>
          <w:tcPr>
            <w:tcW w:w="307" w:type="pct"/>
            <w:noWrap w:val="0"/>
            <w:vAlign w:val="center"/>
          </w:tcPr>
          <w:p w14:paraId="24B7C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D1AB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ACEB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230A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c>
          <w:tcPr>
            <w:tcW w:w="353" w:type="pct"/>
            <w:noWrap w:val="0"/>
            <w:vAlign w:val="center"/>
          </w:tcPr>
          <w:p w14:paraId="33725A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F96B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43</w:t>
            </w:r>
          </w:p>
        </w:tc>
      </w:tr>
      <w:tr w14:paraId="5DF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5CEE2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975" w:type="pct"/>
            <w:gridSpan w:val="2"/>
            <w:noWrap w:val="0"/>
            <w:vAlign w:val="center"/>
          </w:tcPr>
          <w:p w14:paraId="6876C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（二）部分公开（区分处理的，只计这一情形，不计其他情形）</w:t>
            </w:r>
          </w:p>
        </w:tc>
        <w:tc>
          <w:tcPr>
            <w:tcW w:w="307" w:type="pct"/>
            <w:noWrap w:val="0"/>
            <w:vAlign w:val="center"/>
          </w:tcPr>
          <w:p w14:paraId="05B2B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24</w:t>
            </w:r>
          </w:p>
        </w:tc>
        <w:tc>
          <w:tcPr>
            <w:tcW w:w="307" w:type="pct"/>
            <w:noWrap w:val="0"/>
            <w:vAlign w:val="center"/>
          </w:tcPr>
          <w:p w14:paraId="6DCAF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281A6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8575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C576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0EEC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5B53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26</w:t>
            </w:r>
          </w:p>
        </w:tc>
      </w:tr>
      <w:tr w14:paraId="040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039978C">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73F14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（三）不予公开</w:t>
            </w:r>
          </w:p>
        </w:tc>
        <w:tc>
          <w:tcPr>
            <w:tcW w:w="1537" w:type="pct"/>
            <w:noWrap w:val="0"/>
            <w:vAlign w:val="top"/>
          </w:tcPr>
          <w:p w14:paraId="0A918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1.属于国家秘密</w:t>
            </w:r>
          </w:p>
        </w:tc>
        <w:tc>
          <w:tcPr>
            <w:tcW w:w="307" w:type="pct"/>
            <w:noWrap w:val="0"/>
            <w:vAlign w:val="center"/>
          </w:tcPr>
          <w:p w14:paraId="128D5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F1DB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A1B2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D3A9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60E13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1C3D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F7AD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r>
      <w:tr w14:paraId="781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4BD6B8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D4C22CB">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3EEAF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2.其他法律行政法规禁止公开</w:t>
            </w:r>
          </w:p>
        </w:tc>
        <w:tc>
          <w:tcPr>
            <w:tcW w:w="307" w:type="pct"/>
            <w:noWrap w:val="0"/>
            <w:vAlign w:val="center"/>
          </w:tcPr>
          <w:p w14:paraId="475BD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C7C7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2270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F8A8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431B3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71CC2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E105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3F2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9A5100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2477345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7661F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3.危及“三安全一稳定”</w:t>
            </w:r>
          </w:p>
        </w:tc>
        <w:tc>
          <w:tcPr>
            <w:tcW w:w="307" w:type="pct"/>
            <w:noWrap w:val="0"/>
            <w:vAlign w:val="center"/>
          </w:tcPr>
          <w:p w14:paraId="1A68B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9017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6C17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5EE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26D12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07A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D518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02D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1750AAE">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9829D77">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7AA2D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4.保护第三方合法权益</w:t>
            </w:r>
          </w:p>
        </w:tc>
        <w:tc>
          <w:tcPr>
            <w:tcW w:w="307" w:type="pct"/>
            <w:noWrap w:val="0"/>
            <w:vAlign w:val="center"/>
          </w:tcPr>
          <w:p w14:paraId="30930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5BEB9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2CAD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48B1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C535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77402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C07E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w:t>
            </w:r>
          </w:p>
        </w:tc>
      </w:tr>
      <w:tr w14:paraId="07C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5D5AD0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46E4959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20FD5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5.属于三类内部事务信息</w:t>
            </w:r>
          </w:p>
        </w:tc>
        <w:tc>
          <w:tcPr>
            <w:tcW w:w="307" w:type="pct"/>
            <w:noWrap w:val="0"/>
            <w:vAlign w:val="center"/>
          </w:tcPr>
          <w:p w14:paraId="7D6CF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14798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A9F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9804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F748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3DFF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6F9AA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1</w:t>
            </w:r>
          </w:p>
        </w:tc>
      </w:tr>
      <w:tr w14:paraId="0AE0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5A4CF0D3">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770955E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43EFE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6.属于四类过程性信息</w:t>
            </w:r>
          </w:p>
        </w:tc>
        <w:tc>
          <w:tcPr>
            <w:tcW w:w="307" w:type="pct"/>
            <w:noWrap w:val="0"/>
            <w:vAlign w:val="center"/>
          </w:tcPr>
          <w:p w14:paraId="0995E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AB0A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D71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7C3D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5646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D50F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3FAF2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7C5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7B5DDCB">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FA235E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E3D6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7.属于行政执法案卷</w:t>
            </w:r>
          </w:p>
        </w:tc>
        <w:tc>
          <w:tcPr>
            <w:tcW w:w="307" w:type="pct"/>
            <w:noWrap w:val="0"/>
            <w:vAlign w:val="center"/>
          </w:tcPr>
          <w:p w14:paraId="0A033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E9FD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3BB8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53B8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D8C9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F6CD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F2D29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color w:val="333333"/>
                <w:kern w:val="0"/>
                <w:sz w:val="21"/>
                <w:szCs w:val="21"/>
                <w:highlight w:val="none"/>
                <w:lang w:val="en-US" w:eastAsia="zh-CN" w:bidi="ar"/>
              </w:rPr>
              <w:t>0</w:t>
            </w:r>
          </w:p>
        </w:tc>
      </w:tr>
      <w:tr w14:paraId="2594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4B7A1F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0CC7415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43301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8.属于行政查询事项</w:t>
            </w:r>
          </w:p>
        </w:tc>
        <w:tc>
          <w:tcPr>
            <w:tcW w:w="307" w:type="pct"/>
            <w:noWrap w:val="0"/>
            <w:vAlign w:val="center"/>
          </w:tcPr>
          <w:p w14:paraId="3799D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22D4C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0B98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937E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701F8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192C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5DE0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r>
      <w:tr w14:paraId="7A3E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4F6357A">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44A01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（四）无法提供</w:t>
            </w:r>
          </w:p>
        </w:tc>
        <w:tc>
          <w:tcPr>
            <w:tcW w:w="1537" w:type="pct"/>
            <w:noWrap w:val="0"/>
            <w:vAlign w:val="top"/>
          </w:tcPr>
          <w:p w14:paraId="18E48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1.本机关不掌握相关政府信息</w:t>
            </w:r>
          </w:p>
        </w:tc>
        <w:tc>
          <w:tcPr>
            <w:tcW w:w="307" w:type="pct"/>
            <w:noWrap w:val="0"/>
            <w:vAlign w:val="center"/>
          </w:tcPr>
          <w:p w14:paraId="18F41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44</w:t>
            </w:r>
          </w:p>
        </w:tc>
        <w:tc>
          <w:tcPr>
            <w:tcW w:w="307" w:type="pct"/>
            <w:noWrap w:val="0"/>
            <w:vAlign w:val="center"/>
          </w:tcPr>
          <w:p w14:paraId="6E631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B4B9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40C3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CC8DC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2</w:t>
            </w:r>
          </w:p>
        </w:tc>
        <w:tc>
          <w:tcPr>
            <w:tcW w:w="353" w:type="pct"/>
            <w:noWrap w:val="0"/>
            <w:vAlign w:val="center"/>
          </w:tcPr>
          <w:p w14:paraId="382A2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98F9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rPr>
            </w:pPr>
            <w:r>
              <w:rPr>
                <w:rFonts w:hint="eastAsia" w:ascii="宋体" w:hAnsi="宋体" w:cs="宋体"/>
                <w:color w:val="333333"/>
                <w:kern w:val="0"/>
                <w:sz w:val="21"/>
                <w:szCs w:val="21"/>
                <w:highlight w:val="none"/>
                <w:lang w:val="en-US" w:eastAsia="zh-CN" w:bidi="ar"/>
              </w:rPr>
              <w:t>46</w:t>
            </w:r>
          </w:p>
        </w:tc>
      </w:tr>
      <w:tr w14:paraId="103E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099C3A9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750E7AC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B14F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2.没有现成信息需要另行制作</w:t>
            </w:r>
          </w:p>
        </w:tc>
        <w:tc>
          <w:tcPr>
            <w:tcW w:w="307" w:type="pct"/>
            <w:noWrap w:val="0"/>
            <w:vAlign w:val="center"/>
          </w:tcPr>
          <w:p w14:paraId="48AD9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1536D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1B8B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0B0B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60DE7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B3A1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C40E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0EE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695B226">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1EF2B8E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11CF4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3.补正后申请内容仍不明确</w:t>
            </w:r>
          </w:p>
        </w:tc>
        <w:tc>
          <w:tcPr>
            <w:tcW w:w="307" w:type="pct"/>
            <w:noWrap w:val="0"/>
            <w:vAlign w:val="center"/>
          </w:tcPr>
          <w:p w14:paraId="537D9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6DC34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8E47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15A1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579C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2EBA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08FDAC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7BC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3DA76C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0C763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（五）不予处理</w:t>
            </w:r>
          </w:p>
        </w:tc>
        <w:tc>
          <w:tcPr>
            <w:tcW w:w="1537" w:type="pct"/>
            <w:noWrap w:val="0"/>
            <w:vAlign w:val="top"/>
          </w:tcPr>
          <w:p w14:paraId="35A071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1.信访举报投诉类申请</w:t>
            </w:r>
          </w:p>
        </w:tc>
        <w:tc>
          <w:tcPr>
            <w:tcW w:w="307" w:type="pct"/>
            <w:noWrap w:val="0"/>
            <w:vAlign w:val="center"/>
          </w:tcPr>
          <w:p w14:paraId="03BE0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4</w:t>
            </w:r>
          </w:p>
        </w:tc>
        <w:tc>
          <w:tcPr>
            <w:tcW w:w="307" w:type="pct"/>
            <w:noWrap w:val="0"/>
            <w:vAlign w:val="center"/>
          </w:tcPr>
          <w:p w14:paraId="02C90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0523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9410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73F0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1096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F065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4</w:t>
            </w:r>
          </w:p>
        </w:tc>
      </w:tr>
      <w:tr w14:paraId="7CA1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3634ED44">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6E0E1D37">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14CC8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2.重复申请</w:t>
            </w:r>
          </w:p>
        </w:tc>
        <w:tc>
          <w:tcPr>
            <w:tcW w:w="307" w:type="pct"/>
            <w:noWrap w:val="0"/>
            <w:vAlign w:val="center"/>
          </w:tcPr>
          <w:p w14:paraId="6CFC0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115AB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733D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72CA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19589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6EF29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73157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r>
      <w:tr w14:paraId="43E1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8223C58">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CC45105">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02B1F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3.要求提供公开出版物</w:t>
            </w:r>
          </w:p>
        </w:tc>
        <w:tc>
          <w:tcPr>
            <w:tcW w:w="307" w:type="pct"/>
            <w:noWrap w:val="0"/>
            <w:vAlign w:val="center"/>
          </w:tcPr>
          <w:p w14:paraId="326D7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D85F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7AB8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0D96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7995F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3B50E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29F55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26AC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1D885540">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21C8DCC4">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top"/>
          </w:tcPr>
          <w:p w14:paraId="5562C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4.无正当理由大量反复申请</w:t>
            </w:r>
          </w:p>
        </w:tc>
        <w:tc>
          <w:tcPr>
            <w:tcW w:w="307" w:type="pct"/>
            <w:noWrap w:val="0"/>
            <w:vAlign w:val="center"/>
          </w:tcPr>
          <w:p w14:paraId="088F4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E920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BAAB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01FD8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51622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23E2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167FD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42A0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784" w:type="pct"/>
            <w:vMerge w:val="continue"/>
            <w:noWrap w:val="0"/>
            <w:vAlign w:val="center"/>
          </w:tcPr>
          <w:p w14:paraId="69F272EF">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CC21DD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38F60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5.要求行政机关确认或重新出具已获取信息</w:t>
            </w:r>
          </w:p>
        </w:tc>
        <w:tc>
          <w:tcPr>
            <w:tcW w:w="307" w:type="pct"/>
            <w:noWrap w:val="0"/>
            <w:vAlign w:val="center"/>
          </w:tcPr>
          <w:p w14:paraId="7F472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B72C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34F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0C35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6C60E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3A5D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1E5AD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r>
      <w:tr w14:paraId="5A0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C1B802A">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restart"/>
            <w:noWrap w:val="0"/>
            <w:vAlign w:val="center"/>
          </w:tcPr>
          <w:p w14:paraId="11FC3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（六）其他处理</w:t>
            </w:r>
          </w:p>
        </w:tc>
        <w:tc>
          <w:tcPr>
            <w:tcW w:w="1537" w:type="pct"/>
            <w:noWrap w:val="0"/>
            <w:vAlign w:val="center"/>
          </w:tcPr>
          <w:p w14:paraId="07225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1.申请人无正当理由逾期不补正、行政机关不再处理其政府信息公开申请</w:t>
            </w:r>
          </w:p>
        </w:tc>
        <w:tc>
          <w:tcPr>
            <w:tcW w:w="307" w:type="pct"/>
            <w:noWrap w:val="0"/>
            <w:vAlign w:val="center"/>
          </w:tcPr>
          <w:p w14:paraId="26826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5</w:t>
            </w:r>
          </w:p>
        </w:tc>
        <w:tc>
          <w:tcPr>
            <w:tcW w:w="307" w:type="pct"/>
            <w:noWrap w:val="0"/>
            <w:vAlign w:val="center"/>
          </w:tcPr>
          <w:p w14:paraId="2BBC3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222AD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5FA5E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73C0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5D5C2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0F88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5</w:t>
            </w:r>
          </w:p>
        </w:tc>
      </w:tr>
      <w:tr w14:paraId="3F3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282925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0A3D3AEC">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50DB7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2.申请人逾期未按收费通知要求缴纳费用、行政机关不再处理其政府信息公开申请</w:t>
            </w:r>
          </w:p>
        </w:tc>
        <w:tc>
          <w:tcPr>
            <w:tcW w:w="307" w:type="pct"/>
            <w:noWrap w:val="0"/>
            <w:vAlign w:val="center"/>
          </w:tcPr>
          <w:p w14:paraId="3131F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c>
          <w:tcPr>
            <w:tcW w:w="307" w:type="pct"/>
            <w:noWrap w:val="0"/>
            <w:vAlign w:val="center"/>
          </w:tcPr>
          <w:p w14:paraId="366DA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131C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7DECD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3CE47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101F4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5C545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w:t>
            </w:r>
          </w:p>
        </w:tc>
      </w:tr>
      <w:tr w14:paraId="39C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4E5523F1">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437" w:type="pct"/>
            <w:vMerge w:val="continue"/>
            <w:noWrap w:val="0"/>
            <w:vAlign w:val="center"/>
          </w:tcPr>
          <w:p w14:paraId="35CE43B3">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537" w:type="pct"/>
            <w:noWrap w:val="0"/>
            <w:vAlign w:val="center"/>
          </w:tcPr>
          <w:p w14:paraId="6828A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3.其他</w:t>
            </w:r>
          </w:p>
        </w:tc>
        <w:tc>
          <w:tcPr>
            <w:tcW w:w="307" w:type="pct"/>
            <w:noWrap w:val="0"/>
            <w:vAlign w:val="center"/>
          </w:tcPr>
          <w:p w14:paraId="641F4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3</w:t>
            </w:r>
          </w:p>
        </w:tc>
        <w:tc>
          <w:tcPr>
            <w:tcW w:w="307" w:type="pct"/>
            <w:noWrap w:val="0"/>
            <w:vAlign w:val="center"/>
          </w:tcPr>
          <w:p w14:paraId="2A5F3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0D1C8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6E712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49356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2967E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0</w:t>
            </w:r>
          </w:p>
        </w:tc>
        <w:tc>
          <w:tcPr>
            <w:tcW w:w="346" w:type="pct"/>
            <w:noWrap w:val="0"/>
            <w:vAlign w:val="center"/>
          </w:tcPr>
          <w:p w14:paraId="5569F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w:t>
            </w:r>
          </w:p>
        </w:tc>
      </w:tr>
      <w:tr w14:paraId="2D4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84" w:type="pct"/>
            <w:vMerge w:val="continue"/>
            <w:noWrap w:val="0"/>
            <w:vAlign w:val="center"/>
          </w:tcPr>
          <w:p w14:paraId="668D1C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1975" w:type="pct"/>
            <w:gridSpan w:val="2"/>
            <w:noWrap w:val="0"/>
            <w:vAlign w:val="center"/>
          </w:tcPr>
          <w:p w14:paraId="43896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（七）总计</w:t>
            </w:r>
          </w:p>
        </w:tc>
        <w:tc>
          <w:tcPr>
            <w:tcW w:w="307" w:type="pct"/>
            <w:noWrap w:val="0"/>
            <w:vAlign w:val="center"/>
          </w:tcPr>
          <w:p w14:paraId="6C733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134</w:t>
            </w:r>
          </w:p>
        </w:tc>
        <w:tc>
          <w:tcPr>
            <w:tcW w:w="307" w:type="pct"/>
            <w:noWrap w:val="0"/>
            <w:vAlign w:val="center"/>
          </w:tcPr>
          <w:p w14:paraId="7D6BE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2</w:t>
            </w:r>
          </w:p>
        </w:tc>
        <w:tc>
          <w:tcPr>
            <w:tcW w:w="307" w:type="pct"/>
            <w:noWrap w:val="0"/>
            <w:vAlign w:val="center"/>
          </w:tcPr>
          <w:p w14:paraId="4081D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45AB0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11F55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color w:val="333333"/>
                <w:kern w:val="0"/>
                <w:sz w:val="21"/>
                <w:szCs w:val="21"/>
                <w:highlight w:val="none"/>
                <w:lang w:val="en-US" w:eastAsia="zh-CN" w:bidi="ar"/>
              </w:rPr>
              <w:t>3</w:t>
            </w:r>
          </w:p>
        </w:tc>
        <w:tc>
          <w:tcPr>
            <w:tcW w:w="353" w:type="pct"/>
            <w:noWrap w:val="0"/>
            <w:vAlign w:val="center"/>
          </w:tcPr>
          <w:p w14:paraId="7F9B5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4C9A1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139</w:t>
            </w:r>
          </w:p>
        </w:tc>
      </w:tr>
      <w:tr w14:paraId="2B8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759" w:type="pct"/>
            <w:gridSpan w:val="3"/>
            <w:noWrap w:val="0"/>
            <w:vAlign w:val="center"/>
          </w:tcPr>
          <w:p w14:paraId="060203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四、结转下年度继续办理</w:t>
            </w:r>
          </w:p>
        </w:tc>
        <w:tc>
          <w:tcPr>
            <w:tcW w:w="307" w:type="pct"/>
            <w:noWrap w:val="0"/>
            <w:vAlign w:val="center"/>
          </w:tcPr>
          <w:p w14:paraId="6AD1C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8</w:t>
            </w:r>
          </w:p>
        </w:tc>
        <w:tc>
          <w:tcPr>
            <w:tcW w:w="307" w:type="pct"/>
            <w:noWrap w:val="0"/>
            <w:vAlign w:val="center"/>
          </w:tcPr>
          <w:p w14:paraId="6777E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12361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07" w:type="pct"/>
            <w:noWrap w:val="0"/>
            <w:vAlign w:val="center"/>
          </w:tcPr>
          <w:p w14:paraId="3C01A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11" w:type="pct"/>
            <w:noWrap w:val="0"/>
            <w:vAlign w:val="center"/>
          </w:tcPr>
          <w:p w14:paraId="0B34F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53" w:type="pct"/>
            <w:noWrap w:val="0"/>
            <w:vAlign w:val="center"/>
          </w:tcPr>
          <w:p w14:paraId="0ECD0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0</w:t>
            </w:r>
          </w:p>
        </w:tc>
        <w:tc>
          <w:tcPr>
            <w:tcW w:w="346" w:type="pct"/>
            <w:noWrap w:val="0"/>
            <w:vAlign w:val="center"/>
          </w:tcPr>
          <w:p w14:paraId="65F6D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color w:val="333333"/>
                <w:kern w:val="0"/>
                <w:sz w:val="21"/>
                <w:szCs w:val="21"/>
                <w:highlight w:val="none"/>
                <w:lang w:val="en-US" w:eastAsia="zh-CN" w:bidi="ar"/>
              </w:rPr>
              <w:t>8</w:t>
            </w:r>
          </w:p>
        </w:tc>
      </w:tr>
    </w:tbl>
    <w:p w14:paraId="0CE87F5C">
      <w:pPr>
        <w:keepLines w:val="0"/>
        <w:pageBreakBefore w:val="0"/>
        <w:numPr>
          <w:ilvl w:val="0"/>
          <w:numId w:val="0"/>
        </w:numPr>
        <w:kinsoku/>
        <w:overflowPunct/>
        <w:autoSpaceDE/>
        <w:autoSpaceDN/>
        <w:bidi w:val="0"/>
        <w:spacing w:line="560" w:lineRule="exact"/>
        <w:ind w:firstLine="640" w:firstLineChars="200"/>
        <w:jc w:val="both"/>
        <w:textAlignment w:val="auto"/>
        <w:rPr>
          <w:rFonts w:hint="eastAsia" w:ascii="黑体" w:hAnsi="黑体" w:eastAsia="黑体" w:cs="黑体"/>
          <w:b w:val="0"/>
          <w:bCs w:val="0"/>
          <w:color w:val="333333"/>
          <w:sz w:val="32"/>
          <w:szCs w:val="32"/>
          <w:highlight w:val="none"/>
        </w:rPr>
      </w:pPr>
      <w:r>
        <w:rPr>
          <w:rFonts w:hint="eastAsia" w:ascii="黑体" w:hAnsi="黑体" w:eastAsia="黑体" w:cs="黑体"/>
          <w:b w:val="0"/>
          <w:bCs w:val="0"/>
          <w:color w:val="333333"/>
          <w:sz w:val="32"/>
          <w:szCs w:val="32"/>
          <w:highlight w:val="none"/>
          <w:lang w:val="en-US" w:eastAsia="zh-CN"/>
        </w:rPr>
        <w:t>四、</w:t>
      </w:r>
      <w:r>
        <w:rPr>
          <w:rFonts w:hint="eastAsia" w:ascii="黑体" w:hAnsi="黑体" w:eastAsia="黑体" w:cs="黑体"/>
          <w:b w:val="0"/>
          <w:bCs w:val="0"/>
          <w:color w:val="333333"/>
          <w:sz w:val="32"/>
          <w:szCs w:val="32"/>
          <w:highlight w:val="none"/>
        </w:rPr>
        <w:t>政府信息公开行政复议、行政诉讼情况</w:t>
      </w:r>
    </w:p>
    <w:p w14:paraId="51D6BB8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2021年度，全区因政府信息公开工作被申请行政复议19件，提起行政诉讼22件。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612"/>
        <w:gridCol w:w="612"/>
        <w:gridCol w:w="613"/>
        <w:gridCol w:w="622"/>
        <w:gridCol w:w="613"/>
        <w:gridCol w:w="613"/>
        <w:gridCol w:w="615"/>
        <w:gridCol w:w="615"/>
        <w:gridCol w:w="620"/>
        <w:gridCol w:w="615"/>
        <w:gridCol w:w="615"/>
        <w:gridCol w:w="615"/>
        <w:gridCol w:w="615"/>
        <w:gridCol w:w="622"/>
      </w:tblGrid>
      <w:tr w14:paraId="454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4" w:type="pct"/>
            <w:gridSpan w:val="5"/>
            <w:shd w:val="clear" w:color="auto" w:fill="auto"/>
            <w:vAlign w:val="center"/>
          </w:tcPr>
          <w:p w14:paraId="6070A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行政复议</w:t>
            </w:r>
          </w:p>
        </w:tc>
        <w:tc>
          <w:tcPr>
            <w:tcW w:w="3335" w:type="pct"/>
            <w:gridSpan w:val="10"/>
            <w:shd w:val="clear" w:color="auto" w:fill="auto"/>
            <w:vAlign w:val="center"/>
          </w:tcPr>
          <w:p w14:paraId="0AB18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行政诉讼</w:t>
            </w:r>
          </w:p>
        </w:tc>
      </w:tr>
      <w:tr w14:paraId="2A2C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restart"/>
            <w:shd w:val="clear" w:color="auto" w:fill="auto"/>
            <w:vAlign w:val="center"/>
          </w:tcPr>
          <w:p w14:paraId="4B9A2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结果维持</w:t>
            </w:r>
          </w:p>
        </w:tc>
        <w:tc>
          <w:tcPr>
            <w:tcW w:w="332" w:type="pct"/>
            <w:vMerge w:val="restart"/>
            <w:shd w:val="clear" w:color="auto" w:fill="auto"/>
            <w:vAlign w:val="center"/>
          </w:tcPr>
          <w:p w14:paraId="65BD9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2" w:type="pct"/>
            <w:vMerge w:val="restart"/>
            <w:shd w:val="clear" w:color="auto" w:fill="auto"/>
            <w:vAlign w:val="center"/>
          </w:tcPr>
          <w:p w14:paraId="58D25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其他</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结果</w:t>
            </w:r>
          </w:p>
        </w:tc>
        <w:tc>
          <w:tcPr>
            <w:tcW w:w="332" w:type="pct"/>
            <w:vMerge w:val="restart"/>
            <w:shd w:val="clear" w:color="auto" w:fill="auto"/>
            <w:vAlign w:val="center"/>
          </w:tcPr>
          <w:p w14:paraId="43D85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6" w:type="pct"/>
            <w:vMerge w:val="restart"/>
            <w:shd w:val="clear" w:color="auto" w:fill="auto"/>
            <w:vAlign w:val="center"/>
          </w:tcPr>
          <w:p w14:paraId="1CC1F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总计</w:t>
            </w:r>
          </w:p>
        </w:tc>
        <w:tc>
          <w:tcPr>
            <w:tcW w:w="1666" w:type="pct"/>
            <w:gridSpan w:val="5"/>
            <w:shd w:val="clear" w:color="auto" w:fill="auto"/>
            <w:vAlign w:val="center"/>
          </w:tcPr>
          <w:p w14:paraId="2B4ED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未经复议直接起诉</w:t>
            </w:r>
          </w:p>
        </w:tc>
        <w:tc>
          <w:tcPr>
            <w:tcW w:w="1668" w:type="pct"/>
            <w:gridSpan w:val="5"/>
            <w:shd w:val="clear" w:color="auto" w:fill="auto"/>
            <w:vAlign w:val="center"/>
          </w:tcPr>
          <w:p w14:paraId="66281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highlight w:val="none"/>
              </w:rPr>
            </w:pPr>
            <w:r>
              <w:rPr>
                <w:rFonts w:hint="eastAsia" w:ascii="宋体" w:hAnsi="宋体" w:eastAsia="宋体" w:cs="宋体"/>
                <w:color w:val="333333"/>
                <w:kern w:val="0"/>
                <w:sz w:val="20"/>
                <w:szCs w:val="20"/>
                <w:highlight w:val="none"/>
                <w:lang w:val="en-US" w:eastAsia="zh-CN" w:bidi="ar"/>
              </w:rPr>
              <w:t>复议后起诉</w:t>
            </w:r>
          </w:p>
        </w:tc>
      </w:tr>
      <w:tr w14:paraId="430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shd w:val="clear" w:color="auto" w:fill="auto"/>
            <w:vAlign w:val="center"/>
          </w:tcPr>
          <w:p w14:paraId="671F37FE">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4D16CB12">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69082E3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vMerge w:val="continue"/>
            <w:shd w:val="clear" w:color="auto" w:fill="auto"/>
            <w:vAlign w:val="center"/>
          </w:tcPr>
          <w:p w14:paraId="47F5A329">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6" w:type="pct"/>
            <w:vMerge w:val="continue"/>
            <w:shd w:val="clear" w:color="auto" w:fill="auto"/>
            <w:vAlign w:val="center"/>
          </w:tcPr>
          <w:p w14:paraId="6C20286D">
            <w:pPr>
              <w:keepLines w:val="0"/>
              <w:pageBreakBefore w:val="0"/>
              <w:kinsoku/>
              <w:overflowPunct/>
              <w:bidi w:val="0"/>
              <w:spacing w:line="240" w:lineRule="auto"/>
              <w:jc w:val="both"/>
              <w:textAlignment w:val="auto"/>
              <w:rPr>
                <w:rFonts w:hint="eastAsia" w:ascii="宋体" w:hAnsi="宋体" w:eastAsia="宋体" w:cs="宋体"/>
                <w:color w:val="333333"/>
                <w:sz w:val="21"/>
                <w:szCs w:val="21"/>
                <w:highlight w:val="none"/>
              </w:rPr>
            </w:pPr>
          </w:p>
        </w:tc>
        <w:tc>
          <w:tcPr>
            <w:tcW w:w="332" w:type="pct"/>
            <w:shd w:val="clear" w:color="auto" w:fill="auto"/>
            <w:vAlign w:val="center"/>
          </w:tcPr>
          <w:p w14:paraId="33A39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维持</w:t>
            </w:r>
          </w:p>
        </w:tc>
        <w:tc>
          <w:tcPr>
            <w:tcW w:w="332" w:type="pct"/>
            <w:shd w:val="clear" w:color="auto" w:fill="auto"/>
            <w:vAlign w:val="center"/>
          </w:tcPr>
          <w:p w14:paraId="51B83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3" w:type="pct"/>
            <w:shd w:val="clear" w:color="auto" w:fill="auto"/>
            <w:vAlign w:val="center"/>
          </w:tcPr>
          <w:p w14:paraId="48757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其他</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结果</w:t>
            </w:r>
          </w:p>
        </w:tc>
        <w:tc>
          <w:tcPr>
            <w:tcW w:w="333" w:type="pct"/>
            <w:shd w:val="clear" w:color="auto" w:fill="auto"/>
            <w:vAlign w:val="center"/>
          </w:tcPr>
          <w:p w14:paraId="7EEBA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5" w:type="pct"/>
            <w:shd w:val="clear" w:color="auto" w:fill="auto"/>
            <w:vAlign w:val="center"/>
          </w:tcPr>
          <w:p w14:paraId="4A165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总计</w:t>
            </w:r>
          </w:p>
        </w:tc>
        <w:tc>
          <w:tcPr>
            <w:tcW w:w="333" w:type="pct"/>
            <w:shd w:val="clear" w:color="auto" w:fill="auto"/>
            <w:vAlign w:val="center"/>
          </w:tcPr>
          <w:p w14:paraId="2817D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维持</w:t>
            </w:r>
          </w:p>
        </w:tc>
        <w:tc>
          <w:tcPr>
            <w:tcW w:w="333" w:type="pct"/>
            <w:shd w:val="clear" w:color="auto" w:fill="auto"/>
            <w:vAlign w:val="center"/>
          </w:tcPr>
          <w:p w14:paraId="4B513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结果</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纠正</w:t>
            </w:r>
          </w:p>
        </w:tc>
        <w:tc>
          <w:tcPr>
            <w:tcW w:w="333" w:type="pct"/>
            <w:shd w:val="clear" w:color="auto" w:fill="auto"/>
            <w:vAlign w:val="center"/>
          </w:tcPr>
          <w:p w14:paraId="63C73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其他</w:t>
            </w:r>
            <w:r>
              <w:rPr>
                <w:rFonts w:hint="eastAsia" w:ascii="宋体" w:hAnsi="宋体" w:eastAsia="宋体" w:cs="宋体"/>
                <w:color w:val="000000"/>
                <w:kern w:val="0"/>
                <w:sz w:val="20"/>
                <w:szCs w:val="20"/>
                <w:highlight w:val="none"/>
                <w:lang w:val="en-US" w:eastAsia="zh-CN" w:bidi="ar"/>
              </w:rPr>
              <w:br w:type="textWrapping"/>
            </w:r>
            <w:r>
              <w:rPr>
                <w:rFonts w:hint="eastAsia" w:ascii="宋体" w:hAnsi="宋体" w:eastAsia="宋体" w:cs="宋体"/>
                <w:color w:val="000000"/>
                <w:kern w:val="0"/>
                <w:sz w:val="20"/>
                <w:szCs w:val="20"/>
                <w:highlight w:val="none"/>
                <w:lang w:val="en-US" w:eastAsia="zh-CN" w:bidi="ar"/>
              </w:rPr>
              <w:t>结果</w:t>
            </w:r>
          </w:p>
        </w:tc>
        <w:tc>
          <w:tcPr>
            <w:tcW w:w="333" w:type="pct"/>
            <w:shd w:val="clear" w:color="auto" w:fill="auto"/>
            <w:vAlign w:val="center"/>
          </w:tcPr>
          <w:p w14:paraId="3E3DB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333333"/>
                <w:kern w:val="0"/>
                <w:sz w:val="20"/>
                <w:szCs w:val="20"/>
                <w:highlight w:val="none"/>
                <w:lang w:val="en-US" w:eastAsia="zh-CN" w:bidi="ar"/>
              </w:rPr>
              <w:t>尚未</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审结</w:t>
            </w:r>
          </w:p>
        </w:tc>
        <w:tc>
          <w:tcPr>
            <w:tcW w:w="335" w:type="pct"/>
            <w:shd w:val="clear" w:color="auto" w:fill="auto"/>
            <w:vAlign w:val="center"/>
          </w:tcPr>
          <w:p w14:paraId="1F43F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both"/>
              <w:textAlignment w:val="auto"/>
              <w:rPr>
                <w:highlight w:val="none"/>
              </w:rPr>
            </w:pPr>
            <w:r>
              <w:rPr>
                <w:rFonts w:hint="eastAsia" w:ascii="宋体" w:hAnsi="宋体" w:eastAsia="宋体" w:cs="宋体"/>
                <w:color w:val="000000"/>
                <w:kern w:val="0"/>
                <w:sz w:val="20"/>
                <w:szCs w:val="20"/>
                <w:highlight w:val="none"/>
                <w:lang w:val="en-US" w:eastAsia="zh-CN" w:bidi="ar"/>
              </w:rPr>
              <w:t>总计</w:t>
            </w:r>
          </w:p>
        </w:tc>
      </w:tr>
      <w:tr w14:paraId="7095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331" w:type="pct"/>
            <w:shd w:val="clear" w:color="auto" w:fill="auto"/>
            <w:vAlign w:val="center"/>
          </w:tcPr>
          <w:p w14:paraId="67AA6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9</w:t>
            </w:r>
          </w:p>
        </w:tc>
        <w:tc>
          <w:tcPr>
            <w:tcW w:w="332" w:type="pct"/>
            <w:shd w:val="clear" w:color="auto" w:fill="auto"/>
            <w:vAlign w:val="center"/>
          </w:tcPr>
          <w:p w14:paraId="01F6F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2" w:type="pct"/>
            <w:shd w:val="clear" w:color="auto" w:fill="auto"/>
            <w:vAlign w:val="center"/>
          </w:tcPr>
          <w:p w14:paraId="6EC2B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7</w:t>
            </w:r>
          </w:p>
        </w:tc>
        <w:tc>
          <w:tcPr>
            <w:tcW w:w="332" w:type="pct"/>
            <w:shd w:val="clear" w:color="auto" w:fill="auto"/>
            <w:vAlign w:val="center"/>
          </w:tcPr>
          <w:p w14:paraId="7392D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3</w:t>
            </w:r>
          </w:p>
        </w:tc>
        <w:tc>
          <w:tcPr>
            <w:tcW w:w="336" w:type="pct"/>
            <w:shd w:val="clear" w:color="auto" w:fill="auto"/>
            <w:vAlign w:val="center"/>
          </w:tcPr>
          <w:p w14:paraId="21910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19</w:t>
            </w:r>
          </w:p>
        </w:tc>
        <w:tc>
          <w:tcPr>
            <w:tcW w:w="332" w:type="pct"/>
            <w:shd w:val="clear" w:color="auto" w:fill="auto"/>
            <w:vAlign w:val="center"/>
          </w:tcPr>
          <w:p w14:paraId="1F28E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12</w:t>
            </w:r>
          </w:p>
        </w:tc>
        <w:tc>
          <w:tcPr>
            <w:tcW w:w="332" w:type="pct"/>
            <w:shd w:val="clear" w:color="auto" w:fill="auto"/>
            <w:vAlign w:val="center"/>
          </w:tcPr>
          <w:p w14:paraId="58B95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3" w:type="pct"/>
            <w:shd w:val="clear" w:color="auto" w:fill="auto"/>
            <w:vAlign w:val="center"/>
          </w:tcPr>
          <w:p w14:paraId="67ACF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3" w:type="pct"/>
            <w:shd w:val="clear" w:color="auto" w:fill="auto"/>
            <w:vAlign w:val="center"/>
          </w:tcPr>
          <w:p w14:paraId="021BDB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w:t>
            </w:r>
          </w:p>
        </w:tc>
        <w:tc>
          <w:tcPr>
            <w:tcW w:w="335" w:type="pct"/>
            <w:shd w:val="clear" w:color="auto" w:fill="auto"/>
            <w:vAlign w:val="center"/>
          </w:tcPr>
          <w:p w14:paraId="425D1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15</w:t>
            </w:r>
          </w:p>
        </w:tc>
        <w:tc>
          <w:tcPr>
            <w:tcW w:w="333" w:type="pct"/>
            <w:shd w:val="clear" w:color="auto" w:fill="auto"/>
            <w:vAlign w:val="center"/>
          </w:tcPr>
          <w:p w14:paraId="5EBF2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5</w:t>
            </w:r>
          </w:p>
        </w:tc>
        <w:tc>
          <w:tcPr>
            <w:tcW w:w="333" w:type="pct"/>
            <w:shd w:val="clear" w:color="auto" w:fill="auto"/>
            <w:vAlign w:val="center"/>
          </w:tcPr>
          <w:p w14:paraId="57E81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3" w:type="pct"/>
            <w:shd w:val="clear" w:color="auto" w:fill="auto"/>
            <w:vAlign w:val="center"/>
          </w:tcPr>
          <w:p w14:paraId="7F645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0</w:t>
            </w:r>
          </w:p>
        </w:tc>
        <w:tc>
          <w:tcPr>
            <w:tcW w:w="333" w:type="pct"/>
            <w:shd w:val="clear" w:color="auto" w:fill="auto"/>
            <w:vAlign w:val="center"/>
          </w:tcPr>
          <w:p w14:paraId="24092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default"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2</w:t>
            </w:r>
          </w:p>
        </w:tc>
        <w:tc>
          <w:tcPr>
            <w:tcW w:w="335" w:type="pct"/>
            <w:shd w:val="clear" w:color="auto" w:fill="auto"/>
            <w:vAlign w:val="center"/>
          </w:tcPr>
          <w:p w14:paraId="4E5B3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240" w:lineRule="auto"/>
              <w:ind w:left="0" w:leftChars="0" w:right="0" w:rightChars="0" w:firstLine="0" w:firstLineChars="0"/>
              <w:jc w:val="center"/>
              <w:textAlignment w:val="auto"/>
              <w:rPr>
                <w:rFonts w:hint="eastAsia" w:ascii="黑体" w:hAnsi="宋体" w:eastAsia="黑体" w:cs="黑体"/>
                <w:color w:val="333333"/>
                <w:kern w:val="2"/>
                <w:sz w:val="20"/>
                <w:szCs w:val="20"/>
                <w:highlight w:val="none"/>
                <w:lang w:val="en-US" w:eastAsia="zh-CN" w:bidi="ar"/>
              </w:rPr>
            </w:pPr>
            <w:r>
              <w:rPr>
                <w:rFonts w:hint="eastAsia" w:ascii="黑体" w:hAnsi="宋体" w:eastAsia="黑体" w:cs="黑体"/>
                <w:color w:val="333333"/>
                <w:kern w:val="2"/>
                <w:sz w:val="20"/>
                <w:szCs w:val="20"/>
                <w:highlight w:val="none"/>
                <w:lang w:val="en-US" w:eastAsia="zh-CN" w:bidi="ar"/>
              </w:rPr>
              <w:t>7</w:t>
            </w:r>
          </w:p>
        </w:tc>
      </w:tr>
    </w:tbl>
    <w:p w14:paraId="126A80E0">
      <w:pPr>
        <w:keepNext w:val="0"/>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333333"/>
          <w:sz w:val="32"/>
          <w:szCs w:val="32"/>
          <w:highlight w:val="none"/>
        </w:rPr>
      </w:pPr>
      <w:r>
        <w:rPr>
          <w:rFonts w:hint="eastAsia" w:ascii="黑体" w:hAnsi="黑体" w:eastAsia="黑体" w:cs="黑体"/>
          <w:b w:val="0"/>
          <w:bCs w:val="0"/>
          <w:color w:val="333333"/>
          <w:sz w:val="32"/>
          <w:szCs w:val="32"/>
          <w:highlight w:val="none"/>
          <w:lang w:val="en-US" w:eastAsia="zh-CN"/>
        </w:rPr>
        <w:t>五、</w:t>
      </w:r>
      <w:r>
        <w:rPr>
          <w:rFonts w:hint="eastAsia" w:ascii="黑体" w:hAnsi="黑体" w:eastAsia="黑体" w:cs="黑体"/>
          <w:b w:val="0"/>
          <w:bCs w:val="0"/>
          <w:color w:val="333333"/>
          <w:sz w:val="32"/>
          <w:szCs w:val="32"/>
          <w:highlight w:val="none"/>
        </w:rPr>
        <w:t>存在的主要问题及改进情况</w:t>
      </w:r>
    </w:p>
    <w:p w14:paraId="0202A377">
      <w:pPr>
        <w:keepNext w:val="0"/>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（一）上年度存在的问题及改进情况</w:t>
      </w:r>
    </w:p>
    <w:p w14:paraId="1B0C489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2020年存在的问题：信息公开专职人员业务能力有待提高；主动获取重点领域的信息量还不够多，发布的内容还不够全，数量和频率还有待提高。</w:t>
      </w:r>
    </w:p>
    <w:p w14:paraId="6EDB4B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改进情况：一是各单位提高了对政府信息公开工作的重视程度，强化了专业队伍。建立了一支相对稳定、专业的政务公开工作队伍，经常组织培训学习，积极开展多形式、多渠道的信息共享，全面提升政务公开工作水平。二是在区政务服务中心设置了信息公开专区，利用广播、电视、报纸、政务新媒体、社区公示栏等渠道，扩大信息公开的广度和深度。三是发布26个试点领域基层政务公开标准目录，编制形成《全区政府网站及信息公开主体单位职责分工表》，全区50个单位结合本单位实际发布了本单位的信息公开指南。进一步明确各单位职责分工、更新时限以及主动公开、不得公开的政府信息。</w:t>
      </w:r>
    </w:p>
    <w:p w14:paraId="3585516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（二）本年度存在的问题及下一步工作打算</w:t>
      </w:r>
    </w:p>
    <w:p w14:paraId="7B42780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2021年存在的问题：一是政策解读形式有待进一步丰富，解读质量有待进一步提升；二是部分单位的政府信息主动公开意识有待进一步提高，公开平台内容有待补充完善；三是政府信息公开平台建设有待完善。</w:t>
      </w:r>
    </w:p>
    <w:p w14:paraId="0332DC7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工作打算：一是加大政策解读工作力度，开展政府新闻发布会、H5等多形式解读，不断提升解读质效；二是提高各单位政务公开工作的重视程度，加强主动公开意识；三是持续规范政府信息公开平台建设，进一步优化栏目页面设置、栏目检索功能、栏目下载功能、数据互联互通功能。</w:t>
      </w:r>
    </w:p>
    <w:p w14:paraId="78875DE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rPr>
        <w:t>六、其他需要报告的事项</w:t>
      </w:r>
    </w:p>
    <w:p w14:paraId="665DFD2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left="640" w:leftChars="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（一）议题案办理情况</w:t>
      </w:r>
    </w:p>
    <w:p w14:paraId="2F5B173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2021年，全区共接到市、区人大政协交办的议提案共334件。其中市人大政协交办的议题案共10件（其中主办件5件），区人大政协交办的议题案共324件。所有议题案均已办结，</w:t>
      </w:r>
      <w:r>
        <w:rPr>
          <w:rFonts w:hint="default" w:ascii="仿宋" w:hAnsi="仿宋" w:eastAsia="仿宋" w:cs="仿宋"/>
          <w:kern w:val="0"/>
          <w:sz w:val="32"/>
          <w:szCs w:val="32"/>
          <w:highlight w:val="none"/>
          <w:lang w:val="en-US" w:eastAsia="zh-CN"/>
        </w:rPr>
        <w:t>满意和基本满意率</w:t>
      </w:r>
      <w:r>
        <w:rPr>
          <w:rFonts w:hint="eastAsia" w:ascii="仿宋" w:hAnsi="仿宋" w:eastAsia="仿宋" w:cs="仿宋"/>
          <w:kern w:val="0"/>
          <w:sz w:val="32"/>
          <w:szCs w:val="32"/>
          <w:highlight w:val="none"/>
          <w:lang w:val="en-US" w:eastAsia="zh-CN"/>
        </w:rPr>
        <w:t>达到100%</w:t>
      </w:r>
      <w:r>
        <w:rPr>
          <w:rFonts w:hint="default" w:ascii="仿宋" w:hAnsi="仿宋" w:eastAsia="仿宋" w:cs="仿宋"/>
          <w:kern w:val="0"/>
          <w:sz w:val="32"/>
          <w:szCs w:val="32"/>
          <w:highlight w:val="none"/>
          <w:lang w:val="en-US" w:eastAsia="zh-CN"/>
        </w:rPr>
        <w:t>。</w:t>
      </w:r>
    </w:p>
    <w:p w14:paraId="28504868">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（二）</w:t>
      </w:r>
      <w:r>
        <w:rPr>
          <w:rFonts w:hint="eastAsia" w:ascii="楷体" w:hAnsi="楷体" w:eastAsia="楷体" w:cs="楷体"/>
          <w:sz w:val="32"/>
          <w:szCs w:val="32"/>
          <w:highlight w:val="none"/>
          <w:lang w:val="en-US" w:eastAsia="zh-CN"/>
        </w:rPr>
        <w:t>政府信息处理费收取情况</w:t>
      </w:r>
    </w:p>
    <w:p w14:paraId="7B27C28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根据国务院办公厅关于印发《政府信息公开信息处理费管理办法》的通知（国办函〔2020〕109号）文件精神，全区共收取政府信息处理费1700元。</w:t>
      </w:r>
    </w:p>
    <w:p w14:paraId="595CF1E2">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（三）《政务公开工作要点》落实情况</w:t>
      </w:r>
    </w:p>
    <w:p w14:paraId="231528F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认真落实《省人民政府办公厅关于印发2021年湖北省政务公开工作要点的通知》。一是加大重大决策预公开力度，设置“决策预公开”栏目，下设“政策执行及落实情况”“重大决策事项目录”“决策草案及意见反馈”“其他文件预公开”等栏目。二是做好各类规划主动公开。增设“十四五”</w:t>
      </w:r>
      <w:bookmarkStart w:id="0" w:name="_GoBack"/>
      <w:bookmarkEnd w:id="0"/>
      <w:r>
        <w:rPr>
          <w:rFonts w:hint="eastAsia" w:ascii="仿宋" w:hAnsi="仿宋" w:eastAsia="仿宋" w:cs="仿宋"/>
          <w:kern w:val="0"/>
          <w:sz w:val="32"/>
          <w:szCs w:val="32"/>
          <w:highlight w:val="none"/>
          <w:lang w:val="en-US" w:eastAsia="zh-CN"/>
        </w:rPr>
        <w:t>规划及“历史规划”等栏目，集中统一公开“十四五”规划文本，同步公开规划解读材料并做好历史规划（计划）的归集整理和主动公开工作。三是做好财政资金信息公开。稳步扩大预决算公开范围，持续深化地方政府债务信息公开，做好财政资金直达基层信息公开，加大惠民惠农财政补贴资金“一卡通”信息公开力度，推动补贴信息公开向社区延伸。四是做好舆情回应工作。增强舆情回应工作的主动性，围绕政务舆情背后的实际问题，以解决问题的具体举措实质性回应社会关切，主动回应共性问题，助力政策完善。2021年我区共受理网上诉求405件，办结405件，共受理群众诉求12335件，办结12335件。</w:t>
      </w:r>
    </w:p>
    <w:p w14:paraId="6B3522F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kern w:val="0"/>
          <w:sz w:val="32"/>
          <w:szCs w:val="32"/>
          <w:highlight w:val="none"/>
          <w:lang w:val="en-US" w:eastAsia="zh-CN"/>
        </w:rPr>
      </w:pPr>
    </w:p>
    <w:p w14:paraId="7CD2A5B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kern w:val="0"/>
          <w:sz w:val="32"/>
          <w:szCs w:val="32"/>
          <w:highlight w:val="none"/>
          <w:lang w:val="en-US" w:eastAsia="zh-CN"/>
        </w:rPr>
      </w:pPr>
    </w:p>
    <w:p w14:paraId="70BE759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3558" w:firstLineChars="1112"/>
        <w:jc w:val="center"/>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硚口区政务服务和大数据管理局</w:t>
      </w:r>
    </w:p>
    <w:p w14:paraId="1CEEAB3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3558" w:firstLineChars="1112"/>
        <w:jc w:val="center"/>
        <w:textAlignment w:val="auto"/>
        <w:rPr>
          <w:highlight w:val="none"/>
        </w:rPr>
      </w:pPr>
      <w:r>
        <w:rPr>
          <w:rFonts w:hint="eastAsia" w:ascii="仿宋" w:hAnsi="仿宋" w:eastAsia="仿宋" w:cs="仿宋"/>
          <w:kern w:val="0"/>
          <w:sz w:val="32"/>
          <w:szCs w:val="32"/>
          <w:highlight w:val="none"/>
          <w:lang w:val="en-US" w:eastAsia="zh-CN"/>
        </w:rPr>
        <w:t>2022年2月8日</w:t>
      </w:r>
    </w:p>
    <w:sectPr>
      <w:footerReference r:id="rId3" w:type="default"/>
      <w:pgSz w:w="11906" w:h="16838"/>
      <w:pgMar w:top="1417" w:right="1304" w:bottom="1417"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aco">
    <w:panose1 w:val="020B050903040404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A0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E91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DE91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CFED4"/>
    <w:multiLevelType w:val="singleLevel"/>
    <w:tmpl w:val="1FDCFED4"/>
    <w:lvl w:ilvl="0" w:tentative="0">
      <w:start w:val="5"/>
      <w:numFmt w:val="chineseCounting"/>
      <w:suff w:val="nothing"/>
      <w:lvlText w:val="（%1）"/>
      <w:lvlJc w:val="left"/>
      <w:rPr>
        <w:rFonts w:hint="eastAsia"/>
      </w:rPr>
    </w:lvl>
  </w:abstractNum>
  <w:abstractNum w:abstractNumId="1">
    <w:nsid w:val="2DC432F6"/>
    <w:multiLevelType w:val="singleLevel"/>
    <w:tmpl w:val="2DC432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TMzODgyOTY2NWYxNjg2MWY1YTdiODhjOGNiN2QifQ=="/>
  </w:docVars>
  <w:rsids>
    <w:rsidRoot w:val="7FCF500A"/>
    <w:rsid w:val="00CB77BE"/>
    <w:rsid w:val="02151639"/>
    <w:rsid w:val="022E44A8"/>
    <w:rsid w:val="027E41A6"/>
    <w:rsid w:val="02E30EFB"/>
    <w:rsid w:val="030709C3"/>
    <w:rsid w:val="05C438E3"/>
    <w:rsid w:val="061D0ABC"/>
    <w:rsid w:val="06A25465"/>
    <w:rsid w:val="06AD0545"/>
    <w:rsid w:val="06CB24CD"/>
    <w:rsid w:val="073124D5"/>
    <w:rsid w:val="08061CCE"/>
    <w:rsid w:val="081E4FBF"/>
    <w:rsid w:val="090221EB"/>
    <w:rsid w:val="092106F2"/>
    <w:rsid w:val="09EB4C14"/>
    <w:rsid w:val="0ADA341F"/>
    <w:rsid w:val="0B1870B9"/>
    <w:rsid w:val="0B602C14"/>
    <w:rsid w:val="0C001D59"/>
    <w:rsid w:val="0C632FA1"/>
    <w:rsid w:val="0D4A7900"/>
    <w:rsid w:val="0DDE11F1"/>
    <w:rsid w:val="0E15651D"/>
    <w:rsid w:val="0E303356"/>
    <w:rsid w:val="0E9A3896"/>
    <w:rsid w:val="0EA11202"/>
    <w:rsid w:val="0FC91C79"/>
    <w:rsid w:val="10202503"/>
    <w:rsid w:val="102962AF"/>
    <w:rsid w:val="103211D1"/>
    <w:rsid w:val="10B93AFF"/>
    <w:rsid w:val="11020FDA"/>
    <w:rsid w:val="11060153"/>
    <w:rsid w:val="11163815"/>
    <w:rsid w:val="11B04EDA"/>
    <w:rsid w:val="12011292"/>
    <w:rsid w:val="14B0380B"/>
    <w:rsid w:val="14F47B94"/>
    <w:rsid w:val="150B2427"/>
    <w:rsid w:val="152D05F0"/>
    <w:rsid w:val="15A779A4"/>
    <w:rsid w:val="16461969"/>
    <w:rsid w:val="16AE139D"/>
    <w:rsid w:val="16F55420"/>
    <w:rsid w:val="17017F86"/>
    <w:rsid w:val="170830C2"/>
    <w:rsid w:val="17465999"/>
    <w:rsid w:val="178642C9"/>
    <w:rsid w:val="17B56CB2"/>
    <w:rsid w:val="17D31922"/>
    <w:rsid w:val="18270401"/>
    <w:rsid w:val="18300B23"/>
    <w:rsid w:val="18A706B9"/>
    <w:rsid w:val="18DA6CE0"/>
    <w:rsid w:val="19183BAB"/>
    <w:rsid w:val="1B1A2A74"/>
    <w:rsid w:val="1B627A11"/>
    <w:rsid w:val="1CE35F16"/>
    <w:rsid w:val="1CFD4D4B"/>
    <w:rsid w:val="1D1D719C"/>
    <w:rsid w:val="1D5C4168"/>
    <w:rsid w:val="203942EC"/>
    <w:rsid w:val="203F7955"/>
    <w:rsid w:val="206A26F8"/>
    <w:rsid w:val="20B830EF"/>
    <w:rsid w:val="21425982"/>
    <w:rsid w:val="21A93F72"/>
    <w:rsid w:val="21B77BBF"/>
    <w:rsid w:val="23733FB9"/>
    <w:rsid w:val="23871813"/>
    <w:rsid w:val="23B95E70"/>
    <w:rsid w:val="246F2B60"/>
    <w:rsid w:val="24DB6E55"/>
    <w:rsid w:val="25BD21AD"/>
    <w:rsid w:val="25F212E3"/>
    <w:rsid w:val="260733C5"/>
    <w:rsid w:val="26502390"/>
    <w:rsid w:val="267275BA"/>
    <w:rsid w:val="27B22717"/>
    <w:rsid w:val="282A4DA0"/>
    <w:rsid w:val="28577A06"/>
    <w:rsid w:val="28704451"/>
    <w:rsid w:val="287F5F8E"/>
    <w:rsid w:val="28AD37B2"/>
    <w:rsid w:val="28CD5F1A"/>
    <w:rsid w:val="28ED3EC6"/>
    <w:rsid w:val="29AA0009"/>
    <w:rsid w:val="2B02634F"/>
    <w:rsid w:val="2C9E3E55"/>
    <w:rsid w:val="2CBB79FD"/>
    <w:rsid w:val="2CCB2770"/>
    <w:rsid w:val="2CE2210F"/>
    <w:rsid w:val="2D7B23E8"/>
    <w:rsid w:val="2D9C4F6B"/>
    <w:rsid w:val="2DA63C8C"/>
    <w:rsid w:val="2EF42085"/>
    <w:rsid w:val="301917A7"/>
    <w:rsid w:val="3082749C"/>
    <w:rsid w:val="30FB1753"/>
    <w:rsid w:val="33707BCD"/>
    <w:rsid w:val="3381002D"/>
    <w:rsid w:val="33865643"/>
    <w:rsid w:val="340A7A25"/>
    <w:rsid w:val="3421711A"/>
    <w:rsid w:val="3442156A"/>
    <w:rsid w:val="34A86C01"/>
    <w:rsid w:val="353C625C"/>
    <w:rsid w:val="35A149B6"/>
    <w:rsid w:val="36546006"/>
    <w:rsid w:val="36743E79"/>
    <w:rsid w:val="36DB7A54"/>
    <w:rsid w:val="371116C7"/>
    <w:rsid w:val="376B702A"/>
    <w:rsid w:val="380C65E7"/>
    <w:rsid w:val="3819048E"/>
    <w:rsid w:val="384653A1"/>
    <w:rsid w:val="3848736B"/>
    <w:rsid w:val="38495371"/>
    <w:rsid w:val="38CD6618"/>
    <w:rsid w:val="39111E53"/>
    <w:rsid w:val="3973697B"/>
    <w:rsid w:val="3A314344"/>
    <w:rsid w:val="3BBA1B73"/>
    <w:rsid w:val="3C027831"/>
    <w:rsid w:val="3C335C3C"/>
    <w:rsid w:val="3C8F37BA"/>
    <w:rsid w:val="3C9C7470"/>
    <w:rsid w:val="3CF719D1"/>
    <w:rsid w:val="3CFB2BFE"/>
    <w:rsid w:val="3D8C3FBC"/>
    <w:rsid w:val="3DC513DA"/>
    <w:rsid w:val="3DDF273A"/>
    <w:rsid w:val="3EB9673D"/>
    <w:rsid w:val="3EDB5A73"/>
    <w:rsid w:val="3F33629E"/>
    <w:rsid w:val="3F4F5CB9"/>
    <w:rsid w:val="3F79D9B2"/>
    <w:rsid w:val="3FAFBE20"/>
    <w:rsid w:val="3FE7E9D6"/>
    <w:rsid w:val="3FEE50EA"/>
    <w:rsid w:val="40714F85"/>
    <w:rsid w:val="40FD6A64"/>
    <w:rsid w:val="41013860"/>
    <w:rsid w:val="41524DB6"/>
    <w:rsid w:val="42246753"/>
    <w:rsid w:val="42DD0AFB"/>
    <w:rsid w:val="43727992"/>
    <w:rsid w:val="44004F9E"/>
    <w:rsid w:val="465515D1"/>
    <w:rsid w:val="46641814"/>
    <w:rsid w:val="472C45CF"/>
    <w:rsid w:val="48B06F92"/>
    <w:rsid w:val="493059DD"/>
    <w:rsid w:val="498B355B"/>
    <w:rsid w:val="49D56585"/>
    <w:rsid w:val="49FD0F8E"/>
    <w:rsid w:val="4A0751ED"/>
    <w:rsid w:val="4AE27323"/>
    <w:rsid w:val="4BC46CA2"/>
    <w:rsid w:val="4BE11211"/>
    <w:rsid w:val="4D2C252E"/>
    <w:rsid w:val="4E0658E6"/>
    <w:rsid w:val="50087DC1"/>
    <w:rsid w:val="50250266"/>
    <w:rsid w:val="50646F2B"/>
    <w:rsid w:val="50A82C45"/>
    <w:rsid w:val="50AF5D81"/>
    <w:rsid w:val="52DC5653"/>
    <w:rsid w:val="534E1882"/>
    <w:rsid w:val="53980081"/>
    <w:rsid w:val="53E06252"/>
    <w:rsid w:val="544B35B6"/>
    <w:rsid w:val="55A82D9F"/>
    <w:rsid w:val="568D446F"/>
    <w:rsid w:val="56FE00DA"/>
    <w:rsid w:val="57090EB4"/>
    <w:rsid w:val="581A7F84"/>
    <w:rsid w:val="58A3441E"/>
    <w:rsid w:val="58F267A1"/>
    <w:rsid w:val="591744C4"/>
    <w:rsid w:val="597E2795"/>
    <w:rsid w:val="59BA6CB3"/>
    <w:rsid w:val="5A6D106D"/>
    <w:rsid w:val="5A8C7EF4"/>
    <w:rsid w:val="5ADD173D"/>
    <w:rsid w:val="5AE66844"/>
    <w:rsid w:val="5C4307BC"/>
    <w:rsid w:val="5C590EB4"/>
    <w:rsid w:val="5CA27422"/>
    <w:rsid w:val="5CBED3FD"/>
    <w:rsid w:val="5D06720B"/>
    <w:rsid w:val="5D4E60FF"/>
    <w:rsid w:val="5DC10EA2"/>
    <w:rsid w:val="5DD619A0"/>
    <w:rsid w:val="5EADCD1A"/>
    <w:rsid w:val="5F585836"/>
    <w:rsid w:val="5FEF49CC"/>
    <w:rsid w:val="5FF05552"/>
    <w:rsid w:val="618E54C4"/>
    <w:rsid w:val="619535D9"/>
    <w:rsid w:val="61E33ADD"/>
    <w:rsid w:val="629E17B2"/>
    <w:rsid w:val="63AA4467"/>
    <w:rsid w:val="63B212A3"/>
    <w:rsid w:val="63B76FCF"/>
    <w:rsid w:val="64410F8F"/>
    <w:rsid w:val="647A1DAB"/>
    <w:rsid w:val="64CF659A"/>
    <w:rsid w:val="65E322FD"/>
    <w:rsid w:val="66091638"/>
    <w:rsid w:val="660D2ED6"/>
    <w:rsid w:val="663A283E"/>
    <w:rsid w:val="66976C44"/>
    <w:rsid w:val="66B50838"/>
    <w:rsid w:val="672616B4"/>
    <w:rsid w:val="68294213"/>
    <w:rsid w:val="69A53B2F"/>
    <w:rsid w:val="6ACD0E86"/>
    <w:rsid w:val="6B3709F5"/>
    <w:rsid w:val="6B601CFA"/>
    <w:rsid w:val="6B79100E"/>
    <w:rsid w:val="6BF84629"/>
    <w:rsid w:val="6C033A1C"/>
    <w:rsid w:val="6CA4287F"/>
    <w:rsid w:val="6CD10672"/>
    <w:rsid w:val="6CEE52C1"/>
    <w:rsid w:val="6D6F4477"/>
    <w:rsid w:val="6DDA5A01"/>
    <w:rsid w:val="6DEB3BCA"/>
    <w:rsid w:val="6EC66318"/>
    <w:rsid w:val="6EE7766E"/>
    <w:rsid w:val="6F184237"/>
    <w:rsid w:val="6F5002D8"/>
    <w:rsid w:val="6FEEA25D"/>
    <w:rsid w:val="6FFFDAAB"/>
    <w:rsid w:val="708239E7"/>
    <w:rsid w:val="70A72179"/>
    <w:rsid w:val="715F313D"/>
    <w:rsid w:val="72220D4F"/>
    <w:rsid w:val="727A7426"/>
    <w:rsid w:val="72FB055A"/>
    <w:rsid w:val="72FD42D3"/>
    <w:rsid w:val="736B3932"/>
    <w:rsid w:val="7375030D"/>
    <w:rsid w:val="73D05762"/>
    <w:rsid w:val="740B2A1F"/>
    <w:rsid w:val="75022074"/>
    <w:rsid w:val="7560645A"/>
    <w:rsid w:val="75F776FF"/>
    <w:rsid w:val="75FD6C16"/>
    <w:rsid w:val="75FF78EE"/>
    <w:rsid w:val="76EF03D6"/>
    <w:rsid w:val="772C33D8"/>
    <w:rsid w:val="77860D3A"/>
    <w:rsid w:val="778B7210"/>
    <w:rsid w:val="7A0D129F"/>
    <w:rsid w:val="7A560E98"/>
    <w:rsid w:val="7AC758F2"/>
    <w:rsid w:val="7AD41DBD"/>
    <w:rsid w:val="7B701D01"/>
    <w:rsid w:val="7B724793"/>
    <w:rsid w:val="7C3C5E6C"/>
    <w:rsid w:val="7C743857"/>
    <w:rsid w:val="7CC145C3"/>
    <w:rsid w:val="7CC85951"/>
    <w:rsid w:val="7D9F66B2"/>
    <w:rsid w:val="7DC7089B"/>
    <w:rsid w:val="7DEA37BD"/>
    <w:rsid w:val="7E0806FB"/>
    <w:rsid w:val="7E5B093A"/>
    <w:rsid w:val="7E916B3D"/>
    <w:rsid w:val="7EB5D3E7"/>
    <w:rsid w:val="7ED350D7"/>
    <w:rsid w:val="7EF73F55"/>
    <w:rsid w:val="7F5F7071"/>
    <w:rsid w:val="7F7C759A"/>
    <w:rsid w:val="7F7F4DF3"/>
    <w:rsid w:val="7FCF500A"/>
    <w:rsid w:val="7FD91C23"/>
    <w:rsid w:val="7FFA0518"/>
    <w:rsid w:val="8F6230F2"/>
    <w:rsid w:val="BA7B23C6"/>
    <w:rsid w:val="BFD464FA"/>
    <w:rsid w:val="C7C332D8"/>
    <w:rsid w:val="EFCFC741"/>
    <w:rsid w:val="F5DF5C21"/>
    <w:rsid w:val="FBA5ED7E"/>
    <w:rsid w:val="FEDEF35E"/>
    <w:rsid w:val="FF7B7BEB"/>
    <w:rsid w:val="FFCFE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00"/>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character" w:styleId="17">
    <w:name w:val="HTML Keyboard"/>
    <w:basedOn w:val="8"/>
    <w:qFormat/>
    <w:uiPriority w:val="0"/>
    <w:rPr>
      <w:rFonts w:hint="default" w:ascii="Monaco" w:hAnsi="Monaco" w:eastAsia="Monaco" w:cs="Monaco"/>
      <w:color w:val="FFFFFF"/>
      <w:sz w:val="21"/>
      <w:szCs w:val="21"/>
      <w:shd w:val="clear" w:fill="333333"/>
    </w:rPr>
  </w:style>
  <w:style w:type="character" w:styleId="18">
    <w:name w:val="HTML Sample"/>
    <w:basedOn w:val="8"/>
    <w:qFormat/>
    <w:uiPriority w:val="0"/>
    <w:rPr>
      <w:rFonts w:ascii="Monaco" w:hAnsi="Monaco" w:eastAsia="Monaco" w:cs="Monaco"/>
      <w:sz w:val="21"/>
      <w:szCs w:val="21"/>
      <w:shd w:val="clear" w:fill="000000"/>
    </w:rPr>
  </w:style>
  <w:style w:type="character" w:customStyle="1" w:styleId="19">
    <w:name w:val="name"/>
    <w:basedOn w:val="8"/>
    <w:qFormat/>
    <w:uiPriority w:val="0"/>
    <w:rPr>
      <w:color w:val="6A6A6A"/>
      <w:u w:val="single"/>
    </w:rPr>
  </w:style>
  <w:style w:type="character" w:customStyle="1" w:styleId="20">
    <w:name w:val="bg02"/>
    <w:basedOn w:val="8"/>
    <w:qFormat/>
    <w:uiPriority w:val="0"/>
  </w:style>
  <w:style w:type="character" w:customStyle="1" w:styleId="21">
    <w:name w:val="m01"/>
    <w:basedOn w:val="8"/>
    <w:qFormat/>
    <w:uiPriority w:val="0"/>
  </w:style>
  <w:style w:type="character" w:customStyle="1" w:styleId="22">
    <w:name w:val="m011"/>
    <w:basedOn w:val="8"/>
    <w:qFormat/>
    <w:uiPriority w:val="0"/>
  </w:style>
  <w:style w:type="character" w:customStyle="1" w:styleId="23">
    <w:name w:val="font"/>
    <w:basedOn w:val="8"/>
    <w:qFormat/>
    <w:uiPriority w:val="0"/>
  </w:style>
  <w:style w:type="character" w:customStyle="1" w:styleId="24">
    <w:name w:val="font1"/>
    <w:basedOn w:val="8"/>
    <w:qFormat/>
    <w:uiPriority w:val="0"/>
  </w:style>
  <w:style w:type="character" w:customStyle="1" w:styleId="25">
    <w:name w:val="dates"/>
    <w:basedOn w:val="8"/>
    <w:qFormat/>
    <w:uiPriority w:val="0"/>
  </w:style>
  <w:style w:type="character" w:customStyle="1" w:styleId="26">
    <w:name w:val="hover17"/>
    <w:basedOn w:val="8"/>
    <w:qFormat/>
    <w:uiPriority w:val="0"/>
    <w:rPr>
      <w:color w:val="015293"/>
    </w:rPr>
  </w:style>
  <w:style w:type="character" w:customStyle="1" w:styleId="27">
    <w:name w:val="laypage_curr"/>
    <w:basedOn w:val="8"/>
    <w:qFormat/>
    <w:uiPriority w:val="0"/>
    <w:rPr>
      <w:color w:val="FFFDF4"/>
      <w:shd w:val="clear" w:fill="0B67A6"/>
    </w:rPr>
  </w:style>
  <w:style w:type="character" w:customStyle="1" w:styleId="28">
    <w:name w:val="tabg"/>
    <w:basedOn w:val="8"/>
    <w:qFormat/>
    <w:uiPriority w:val="0"/>
    <w:rPr>
      <w:color w:val="FFFFFF"/>
      <w:sz w:val="27"/>
      <w:szCs w:val="27"/>
    </w:rPr>
  </w:style>
  <w:style w:type="character" w:customStyle="1" w:styleId="29">
    <w:name w:val="bg01"/>
    <w:basedOn w:val="8"/>
    <w:qFormat/>
    <w:uiPriority w:val="0"/>
  </w:style>
  <w:style w:type="character" w:customStyle="1" w:styleId="30">
    <w:name w:val="more4"/>
    <w:basedOn w:val="8"/>
    <w:qFormat/>
    <w:uiPriority w:val="0"/>
    <w:rPr>
      <w:color w:val="666666"/>
      <w:sz w:val="18"/>
      <w:szCs w:val="18"/>
    </w:rPr>
  </w:style>
  <w:style w:type="character" w:customStyle="1" w:styleId="31">
    <w:name w:val="input-bitian"/>
    <w:basedOn w:val="8"/>
    <w:qFormat/>
    <w:uiPriority w:val="0"/>
    <w:rPr>
      <w:color w:val="F0002D"/>
      <w:sz w:val="18"/>
      <w:szCs w:val="18"/>
    </w:rPr>
  </w:style>
  <w:style w:type="character" w:customStyle="1" w:styleId="32">
    <w:name w:val="nth-child(3)"/>
    <w:basedOn w:val="8"/>
    <w:qFormat/>
    <w:uiPriority w:val="0"/>
  </w:style>
  <w:style w:type="character" w:customStyle="1" w:styleId="33">
    <w:name w:val="current11"/>
    <w:basedOn w:val="8"/>
    <w:qFormat/>
    <w:uiPriority w:val="0"/>
    <w:rPr>
      <w:color w:val="FFFFFF"/>
      <w:bdr w:val="single" w:color="3090F1" w:sz="6" w:space="0"/>
      <w:shd w:val="clear" w:fill="3090F1"/>
    </w:rPr>
  </w:style>
  <w:style w:type="character" w:customStyle="1" w:styleId="34">
    <w:name w:val="nth-child(2)"/>
    <w:basedOn w:val="8"/>
    <w:qFormat/>
    <w:uiPriority w:val="0"/>
  </w:style>
  <w:style w:type="character" w:customStyle="1" w:styleId="35">
    <w:name w:val="nth-child(2)1"/>
    <w:basedOn w:val="8"/>
    <w:qFormat/>
    <w:uiPriority w:val="0"/>
  </w:style>
  <w:style w:type="character" w:customStyle="1" w:styleId="36">
    <w:name w:val="nth-child(1)"/>
    <w:basedOn w:val="8"/>
    <w:qFormat/>
    <w:uiPriority w:val="0"/>
  </w:style>
  <w:style w:type="character" w:customStyle="1" w:styleId="37">
    <w:name w:val="nth-child(1)1"/>
    <w:basedOn w:val="8"/>
    <w:qFormat/>
    <w:uiPriority w:val="0"/>
  </w:style>
  <w:style w:type="character" w:customStyle="1" w:styleId="38">
    <w:name w:val="wx"/>
    <w:basedOn w:val="8"/>
    <w:qFormat/>
    <w:uiPriority w:val="0"/>
    <w:rPr>
      <w:vanish/>
    </w:rPr>
  </w:style>
  <w:style w:type="character" w:customStyle="1" w:styleId="39">
    <w:name w:val="wx1"/>
    <w:basedOn w:val="8"/>
    <w:qFormat/>
    <w:uiPriority w:val="0"/>
  </w:style>
  <w:style w:type="character" w:customStyle="1" w:styleId="40">
    <w:name w:val="detail"/>
    <w:basedOn w:val="8"/>
    <w:qFormat/>
    <w:uiPriority w:val="0"/>
    <w:rPr>
      <w:color w:val="E3482E"/>
      <w:sz w:val="22"/>
      <w:szCs w:val="22"/>
    </w:rPr>
  </w:style>
  <w:style w:type="character" w:customStyle="1" w:styleId="41">
    <w:name w:val="hover11"/>
    <w:basedOn w:val="8"/>
    <w:qFormat/>
    <w:uiPriority w:val="0"/>
    <w:rPr>
      <w:color w:val="FFFFFF"/>
      <w:shd w:val="clear" w:fill="205BB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7116</Words>
  <Characters>7441</Characters>
  <Lines>0</Lines>
  <Paragraphs>0</Paragraphs>
  <TotalTime>0</TotalTime>
  <ScaleCrop>false</ScaleCrop>
  <LinksUpToDate>false</LinksUpToDate>
  <CharactersWithSpaces>7448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2021-01-31T16:39:00Z</dcterms:created>
  <dc:creator>lenovo</dc:creator>
  <cp:lastModifiedBy>哈维尔萨内蒂</cp:lastModifiedBy>
  <cp:lastPrinted>2022-10-09T08:39:00Z</cp:lastPrinted>
  <dcterms:modified xsi:type="dcterms:W3CDTF">2025-09-16T03:53:16Z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328B51D9841E45EFB00DC00502117370</vt:lpwstr>
  </property>
  <property fmtid="{D5CDD505-2E9C-101B-9397-08002B2CF9AE}" pid="4" name="KSOTemplateDocerSaveRecord">
    <vt:lpwstr>eyJoZGlkIjoiOTU4ZTMzODgyOTY2NWYxNjg2MWY1YTdiODhjOGNiN2QiLCJ1c2VySWQiOiIyMzM1MTA4MjMifQ==</vt:lpwstr>
  </property>
</Properties>
</file>