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硚口区文化和旅游局</w:t>
      </w:r>
      <w:r>
        <w:rPr>
          <w:rFonts w:hint="eastAsia" w:ascii="宋体" w:hAnsi="宋体" w:eastAsia="宋体" w:cs="宋体"/>
          <w:b/>
          <w:bCs/>
          <w:sz w:val="44"/>
          <w:szCs w:val="44"/>
          <w:lang w:val="en-US" w:eastAsia="zh-CN"/>
        </w:rPr>
        <w:t>2023</w:t>
      </w:r>
      <w:r>
        <w:rPr>
          <w:rFonts w:hint="eastAsia" w:ascii="宋体" w:hAnsi="宋体" w:eastAsia="宋体" w:cs="宋体"/>
          <w:b/>
          <w:bCs/>
          <w:sz w:val="44"/>
          <w:szCs w:val="44"/>
        </w:rPr>
        <w:t>年政府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方正小标宋_GBK" w:cs="楷体"/>
          <w:b/>
          <w:bCs/>
          <w:color w:val="auto"/>
          <w:sz w:val="44"/>
          <w:szCs w:val="44"/>
          <w:highlight w:val="yellow"/>
          <w:lang w:eastAsia="zh-CN"/>
        </w:rPr>
      </w:pPr>
      <w:r>
        <w:rPr>
          <w:rFonts w:hint="eastAsia" w:ascii="宋体" w:hAnsi="宋体" w:eastAsia="宋体" w:cs="宋体"/>
          <w:b/>
          <w:bCs/>
          <w:sz w:val="44"/>
          <w:szCs w:val="44"/>
        </w:rPr>
        <w:t>信息公开工作年度报告</w:t>
      </w:r>
    </w:p>
    <w:p>
      <w:pPr>
        <w:keepLines w:val="0"/>
        <w:pageBreakBefore w:val="0"/>
        <w:kinsoku/>
        <w:overflowPunct/>
        <w:autoSpaceDE/>
        <w:autoSpaceDN/>
        <w:bidi w:val="0"/>
        <w:spacing w:line="560" w:lineRule="exact"/>
        <w:jc w:val="center"/>
        <w:textAlignment w:val="auto"/>
        <w:rPr>
          <w:rFonts w:hint="eastAsia" w:ascii="方正小标宋简体" w:hAnsi="方正小标宋简体" w:eastAsia="方正小标宋简体" w:cs="方正小标宋简体"/>
          <w:b/>
          <w:bCs/>
          <w:sz w:val="44"/>
          <w:szCs w:val="44"/>
        </w:rPr>
      </w:pP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kern w:val="0"/>
          <w:sz w:val="32"/>
          <w:szCs w:val="32"/>
          <w:highlight w:val="none"/>
          <w:lang w:val="en-US" w:eastAsia="zh-CN" w:bidi="ar"/>
        </w:rPr>
        <w:t>依据《中华人民共和国政府信息公开条例》（以下简称《政府信息公开条例》）第五十条和《关于印发中华人民共和国政府信息公开工作年度报告格式的通知》（国办公</w:t>
      </w:r>
      <w:r>
        <w:rPr>
          <w:rFonts w:hint="eastAsia" w:ascii="仿宋" w:hAnsi="仿宋" w:eastAsia="仿宋" w:cs="仿宋"/>
          <w:b w:val="0"/>
          <w:bCs w:val="0"/>
          <w:color w:val="auto"/>
          <w:kern w:val="0"/>
          <w:sz w:val="32"/>
          <w:szCs w:val="32"/>
          <w:highlight w:val="none"/>
          <w:lang w:val="en-US" w:eastAsia="zh-CN" w:bidi="ar"/>
        </w:rPr>
        <w:t>开办函〔2021〕30号）规定，编制本报告。本年度报告全文包括：总体情况、主动公开政府信息情况、收到和处理政府信息公开申请情况、政府信息公开行政复议、行政诉讼情况、存在的主要问题及改进情况、其他需要报告的事项。所列统计数据时间范围为2023年1月1日至2023年12月31日。如本报告有疑问，请联系：硚口区文化和旅游局党政办公室，地址：硚口区长丰大道丰美路66号，电话：027-83627823。</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CESI宋体-GB18030" w:hAnsi="CESI宋体-GB18030" w:eastAsia="仿宋" w:cs="仿宋"/>
          <w:color w:val="auto"/>
          <w:kern w:val="2"/>
          <w:sz w:val="32"/>
          <w:szCs w:val="32"/>
          <w:lang w:val="en-US" w:eastAsia="zh-CN" w:bidi="ar-SA"/>
        </w:rPr>
        <w:t>2023</w:t>
      </w:r>
      <w:r>
        <w:rPr>
          <w:rFonts w:hint="eastAsia" w:ascii="仿宋" w:hAnsi="仿宋" w:eastAsia="仿宋" w:cs="仿宋"/>
          <w:sz w:val="32"/>
          <w:szCs w:val="32"/>
        </w:rPr>
        <w:t>年</w:t>
      </w:r>
      <w:r>
        <w:rPr>
          <w:rFonts w:hint="eastAsia" w:ascii="仿宋" w:hAnsi="仿宋" w:eastAsia="仿宋" w:cs="仿宋"/>
          <w:sz w:val="32"/>
          <w:szCs w:val="32"/>
          <w:lang w:eastAsia="zh-CN"/>
        </w:rPr>
        <w:t>，硚口区文化和旅游局坚持以习近平新时代中国特色社会主义思想为指导，全面贯彻党的二十大精神，学习贯彻习近平文化思想，按照《中华人民共和国政府信息公开条例》要求和区委区政府工作部署，坚持以人民为中心，不断拓宽信息公开和政务公开的广度和深度，提升公共服务质量，努力为人民群众提供全面准确、及时便捷的政府信息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（一）政府信息主动公开情况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细化全局行政机关的机构职能，完善“领导成员及分工”“内设机构”等两个子栏目，全局3个科室均在门户网站上公开上述信息。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（二）政府信息依申请公开情况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2023年，区文化和旅游局新收到依申请公开政府信息0件，上年结转申请0件，结转下年度继续办理0件。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（三）政府信息管理情况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方正楷体_GBK" w:hAnsi="方正楷体_GBK" w:eastAsia="方正楷体_GBK" w:cs="方正楷体_GBK"/>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为确保硚口区人民政府网站信息审核提供、编辑发布、管理工作的规范化、制度化，保障政府网站发布信息的权威性、及时性、准确性、严肃性和安全性，严格按照《硚口区人民政府网站和政务新媒体信息审核提供、编辑发布、管理工作制度》做好相关工作。</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（四）政府信息公开平台建设情况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坚持以项目建设为重点，结合工作职能，积极抓好政务网站的信息发布，通过硚口信息网政务公开栏主动公开文化体育领域等重点领域信息。严格审核信息材料，定期更新信息内容，确保信息公开及时有效、渠道源头追溯可查，公民和社会其他组织均可登录网站进行浏览、查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（五）监督保障情况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严格问题整改。根据第三方检查网站工作检查存在的问题，及时完成问题整改，促进工作落实。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lang w:val="en-US" w:eastAsia="zh-CN"/>
        </w:rPr>
      </w:pPr>
      <w:r>
        <w:rPr>
          <w:rFonts w:hint="eastAsia" w:ascii="仿宋" w:hAnsi="仿宋" w:eastAsia="仿宋" w:cs="仿宋"/>
          <w:b w:val="0"/>
          <w:bCs w:val="0"/>
          <w:color w:val="auto"/>
          <w:kern w:val="0"/>
          <w:sz w:val="32"/>
          <w:szCs w:val="32"/>
          <w:highlight w:val="none"/>
          <w:lang w:val="en-US" w:eastAsia="zh-CN" w:bidi="ar-SA"/>
        </w:rPr>
        <w:t>区文化和旅游局高度重视政务公开考核工作，把政务公开纳入年度目标工作考核，建立监督评议制度，自觉接受社会各界监督，主动听取群众意见和建议。2023年度，单位及相关个人未因政务公开被责任追究。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keepNext w:val="0"/>
        <w:keepLines w:val="0"/>
        <w:pageBreakBefore w:val="0"/>
        <w:widowControl w:val="0"/>
        <w:tabs>
          <w:tab w:val="left" w:pos="439"/>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2023年硚口区文化和旅游局制</w:t>
      </w:r>
      <w:r>
        <w:rPr>
          <w:rFonts w:hint="eastAsia" w:ascii="仿宋" w:hAnsi="仿宋" w:eastAsia="仿宋" w:cs="仿宋"/>
          <w:color w:val="auto"/>
          <w:sz w:val="32"/>
          <w:szCs w:val="32"/>
          <w:lang w:val="en-US" w:eastAsia="zh-CN"/>
        </w:rPr>
        <w:t>定规范性</w:t>
      </w:r>
      <w:r>
        <w:rPr>
          <w:rFonts w:hint="eastAsia" w:ascii="仿宋" w:hAnsi="仿宋" w:eastAsia="仿宋" w:cs="仿宋"/>
          <w:color w:val="auto"/>
          <w:sz w:val="32"/>
          <w:szCs w:val="32"/>
          <w:highlight w:val="none"/>
          <w:lang w:val="en-US" w:eastAsia="zh-CN"/>
        </w:rPr>
        <w:t>文件0件</w:t>
      </w:r>
      <w:r>
        <w:rPr>
          <w:rFonts w:hint="eastAsia" w:ascii="仿宋" w:hAnsi="仿宋" w:eastAsia="仿宋" w:cs="仿宋"/>
          <w:sz w:val="32"/>
          <w:szCs w:val="32"/>
          <w:lang w:val="en-US" w:eastAsia="zh-CN"/>
        </w:rPr>
        <w:t>。</w:t>
      </w:r>
    </w:p>
    <w:p>
      <w:pPr>
        <w:keepNext w:val="0"/>
        <w:keepLines w:val="0"/>
        <w:pageBreakBefore w:val="0"/>
        <w:widowControl w:val="0"/>
        <w:tabs>
          <w:tab w:val="left" w:pos="439"/>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2023年硚口区文化和旅游局行政处罚办件共5件，2023年行政处罚事项数0件。</w:t>
      </w:r>
    </w:p>
    <w:p>
      <w:pPr>
        <w:keepNext w:val="0"/>
        <w:keepLines w:val="0"/>
        <w:pageBreakBefore w:val="0"/>
        <w:widowControl w:val="0"/>
        <w:tabs>
          <w:tab w:val="left" w:pos="439"/>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2023年硚口区文化和旅游局采取政府集中采购项目数6项，共计260.63万元。包括2022年旅行社接待外省团队游客奖补审计服务费0.30 万元、2023年武汉市青少年运动会参赛外包服务费68.89 万元、2022年CBBA中国健美健身精英赛（武汉站）赛事外包服务费79.98万元、公园绿地复合利用项目67.55 万元、复印纸0.50 万元、硚口区群众文化活动中心大楼2023年物业管理服务费采购43.41 万元。</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keepNext w:val="0"/>
        <w:keepLines w:val="0"/>
        <w:pageBreakBefore w:val="0"/>
        <w:numPr>
          <w:ilvl w:val="0"/>
          <w:numId w:val="0"/>
        </w:numPr>
        <w:tabs>
          <w:tab w:val="left" w:pos="439"/>
        </w:tabs>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2023年区文化和旅游局</w:t>
      </w:r>
      <w:r>
        <w:rPr>
          <w:rFonts w:hint="eastAsia" w:ascii="仿宋" w:hAnsi="仿宋" w:eastAsia="仿宋" w:cs="仿宋"/>
          <w:i w:val="0"/>
          <w:caps w:val="0"/>
          <w:color w:val="333333"/>
          <w:spacing w:val="0"/>
          <w:sz w:val="32"/>
          <w:szCs w:val="32"/>
          <w:highlight w:val="none"/>
          <w:u w:val="none"/>
          <w:shd w:val="clear" w:fill="FFFFFF"/>
          <w:lang w:val="en-US" w:eastAsia="zh-CN"/>
        </w:rPr>
        <w:t>收到和处理政府信息公开申请0件</w:t>
      </w:r>
      <w:r>
        <w:rPr>
          <w:rFonts w:hint="eastAsia" w:ascii="仿宋" w:hAnsi="仿宋" w:eastAsia="仿宋" w:cs="仿宋"/>
          <w:sz w:val="32"/>
          <w:szCs w:val="32"/>
          <w:highlight w:val="none"/>
          <w:lang w:val="en-US" w:eastAsia="zh-CN"/>
        </w:rPr>
        <w:t>。</w:t>
      </w:r>
    </w:p>
    <w:tbl>
      <w:tblPr>
        <w:tblStyle w:val="4"/>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09"/>
        <w:gridCol w:w="866"/>
        <w:gridCol w:w="3086"/>
        <w:gridCol w:w="644"/>
        <w:gridCol w:w="644"/>
        <w:gridCol w:w="644"/>
        <w:gridCol w:w="644"/>
        <w:gridCol w:w="644"/>
        <w:gridCol w:w="650"/>
        <w:gridCol w:w="6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267"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keepNext w:val="0"/>
        <w:keepLines w:val="0"/>
        <w:pageBreakBefore w:val="0"/>
        <w:numPr>
          <w:ilvl w:val="0"/>
          <w:numId w:val="0"/>
        </w:numPr>
        <w:tabs>
          <w:tab w:val="left" w:pos="439"/>
        </w:tabs>
        <w:kinsoku/>
        <w:wordWrap/>
        <w:overflowPunct/>
        <w:topLinePunct w:val="0"/>
        <w:autoSpaceDE/>
        <w:autoSpaceDN/>
        <w:bidi w:val="0"/>
        <w:adjustRightInd/>
        <w:snapToGrid/>
        <w:spacing w:line="560" w:lineRule="exact"/>
        <w:ind w:firstLine="640"/>
        <w:textAlignment w:val="auto"/>
        <w:rPr>
          <w:rFonts w:ascii="仿宋" w:hAnsi="仿宋" w:eastAsia="仿宋" w:cs="仿宋"/>
          <w:i w:val="0"/>
          <w:caps w:val="0"/>
          <w:color w:val="000000"/>
          <w:spacing w:val="0"/>
          <w:sz w:val="31"/>
          <w:szCs w:val="31"/>
        </w:rPr>
      </w:pPr>
      <w:r>
        <w:rPr>
          <w:rFonts w:ascii="仿宋" w:hAnsi="仿宋" w:eastAsia="仿宋" w:cs="仿宋"/>
          <w:i w:val="0"/>
          <w:caps w:val="0"/>
          <w:color w:val="000000"/>
          <w:spacing w:val="0"/>
          <w:sz w:val="31"/>
          <w:szCs w:val="31"/>
        </w:rPr>
        <w:t>202</w:t>
      </w:r>
      <w:r>
        <w:rPr>
          <w:rFonts w:hint="eastAsia" w:ascii="仿宋" w:hAnsi="仿宋" w:eastAsia="仿宋" w:cs="仿宋"/>
          <w:i w:val="0"/>
          <w:caps w:val="0"/>
          <w:color w:val="000000"/>
          <w:spacing w:val="0"/>
          <w:sz w:val="31"/>
          <w:szCs w:val="31"/>
          <w:lang w:val="en-US" w:eastAsia="zh-CN"/>
        </w:rPr>
        <w:t>3</w:t>
      </w:r>
      <w:r>
        <w:rPr>
          <w:rFonts w:ascii="仿宋" w:hAnsi="仿宋" w:eastAsia="仿宋" w:cs="仿宋"/>
          <w:i w:val="0"/>
          <w:caps w:val="0"/>
          <w:color w:val="000000"/>
          <w:spacing w:val="0"/>
          <w:sz w:val="31"/>
          <w:szCs w:val="31"/>
        </w:rPr>
        <w:t>年区</w:t>
      </w:r>
      <w:r>
        <w:rPr>
          <w:rFonts w:hint="eastAsia" w:ascii="仿宋" w:hAnsi="仿宋" w:eastAsia="仿宋" w:cs="仿宋"/>
          <w:i w:val="0"/>
          <w:caps w:val="0"/>
          <w:color w:val="000000"/>
          <w:spacing w:val="0"/>
          <w:sz w:val="31"/>
          <w:szCs w:val="31"/>
          <w:lang w:eastAsia="zh-CN"/>
        </w:rPr>
        <w:t>文化和旅游局无</w:t>
      </w:r>
      <w:r>
        <w:rPr>
          <w:rFonts w:ascii="仿宋" w:hAnsi="仿宋" w:eastAsia="仿宋" w:cs="仿宋"/>
          <w:i w:val="0"/>
          <w:caps w:val="0"/>
          <w:color w:val="000000"/>
          <w:spacing w:val="0"/>
          <w:sz w:val="31"/>
          <w:szCs w:val="31"/>
        </w:rPr>
        <w:t>被申请行政复议、提起行政诉讼</w:t>
      </w:r>
      <w:r>
        <w:rPr>
          <w:rFonts w:hint="eastAsia" w:ascii="仿宋" w:hAnsi="仿宋" w:eastAsia="仿宋" w:cs="仿宋"/>
          <w:i w:val="0"/>
          <w:caps w:val="0"/>
          <w:color w:val="000000"/>
          <w:spacing w:val="0"/>
          <w:sz w:val="31"/>
          <w:szCs w:val="31"/>
          <w:lang w:eastAsia="zh-CN"/>
        </w:rPr>
        <w:t>件</w:t>
      </w:r>
      <w:r>
        <w:rPr>
          <w:rFonts w:ascii="仿宋" w:hAnsi="仿宋" w:eastAsia="仿宋" w:cs="仿宋"/>
          <w:i w:val="0"/>
          <w:caps w:val="0"/>
          <w:color w:val="000000"/>
          <w:spacing w:val="0"/>
          <w:sz w:val="31"/>
          <w:szCs w:val="31"/>
        </w:rPr>
        <w:t>。</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2"/>
        <w:gridCol w:w="613"/>
        <w:gridCol w:w="613"/>
        <w:gridCol w:w="613"/>
        <w:gridCol w:w="622"/>
        <w:gridCol w:w="613"/>
        <w:gridCol w:w="613"/>
        <w:gridCol w:w="615"/>
        <w:gridCol w:w="615"/>
        <w:gridCol w:w="620"/>
        <w:gridCol w:w="615"/>
        <w:gridCol w:w="615"/>
        <w:gridCol w:w="615"/>
        <w:gridCol w:w="615"/>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存在的主要问题及改进情况</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2023年，政务公开工作虽取得了一定的成效，但对照文件要求仍存在一些不足之处，主要表现为：</w:t>
      </w:r>
      <w:r>
        <w:rPr>
          <w:rFonts w:hint="eastAsia" w:ascii="仿宋" w:hAnsi="仿宋" w:eastAsia="仿宋" w:cs="仿宋"/>
          <w:sz w:val="32"/>
          <w:szCs w:val="32"/>
          <w:lang w:eastAsia="zh-CN"/>
        </w:rPr>
        <w:t>公开</w:t>
      </w:r>
      <w:r>
        <w:rPr>
          <w:rFonts w:hint="eastAsia" w:ascii="仿宋" w:hAnsi="仿宋" w:eastAsia="仿宋" w:cs="仿宋"/>
          <w:sz w:val="32"/>
          <w:szCs w:val="32"/>
        </w:rPr>
        <w:t>质量不高</w:t>
      </w:r>
      <w:r>
        <w:rPr>
          <w:rFonts w:hint="eastAsia" w:ascii="仿宋" w:hAnsi="仿宋" w:eastAsia="仿宋" w:cs="仿宋"/>
          <w:sz w:val="32"/>
          <w:szCs w:val="32"/>
          <w:lang w:eastAsia="zh-CN"/>
        </w:rPr>
        <w:t>、形式</w:t>
      </w:r>
      <w:r>
        <w:rPr>
          <w:rFonts w:hint="eastAsia" w:ascii="仿宋" w:hAnsi="仿宋" w:eastAsia="仿宋" w:cs="仿宋"/>
          <w:sz w:val="32"/>
          <w:szCs w:val="32"/>
        </w:rPr>
        <w:t>欠丰富</w:t>
      </w:r>
      <w:r>
        <w:rPr>
          <w:rFonts w:hint="eastAsia" w:ascii="仿宋" w:hAnsi="仿宋" w:eastAsia="仿宋" w:cs="仿宋"/>
          <w:sz w:val="32"/>
          <w:szCs w:val="32"/>
          <w:lang w:eastAsia="zh-CN"/>
        </w:rPr>
        <w:t>、</w:t>
      </w:r>
      <w:r>
        <w:rPr>
          <w:rFonts w:hint="eastAsia" w:ascii="仿宋" w:hAnsi="仿宋" w:eastAsia="仿宋" w:cs="仿宋"/>
          <w:sz w:val="32"/>
          <w:szCs w:val="32"/>
        </w:rPr>
        <w:t>不健全不规范</w:t>
      </w:r>
      <w:r>
        <w:rPr>
          <w:rFonts w:hint="eastAsia" w:ascii="仿宋" w:hAnsi="仿宋" w:eastAsia="仿宋" w:cs="仿宋"/>
          <w:sz w:val="32"/>
          <w:szCs w:val="32"/>
          <w:lang w:eastAsia="zh-CN"/>
        </w:rPr>
        <w:t>；公开不及时、</w:t>
      </w:r>
      <w:r>
        <w:rPr>
          <w:rFonts w:hint="eastAsia" w:ascii="仿宋" w:hAnsi="仿宋" w:eastAsia="仿宋" w:cs="仿宋"/>
          <w:sz w:val="32"/>
          <w:szCs w:val="32"/>
        </w:rPr>
        <w:t>时效性不强</w:t>
      </w:r>
      <w:r>
        <w:rPr>
          <w:rFonts w:hint="eastAsia" w:ascii="仿宋" w:hAnsi="仿宋" w:eastAsia="仿宋" w:cs="仿宋"/>
          <w:color w:val="auto"/>
          <w:sz w:val="32"/>
          <w:szCs w:val="32"/>
          <w:highlight w:val="none"/>
          <w:lang w:val="en-US"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2024年，我局将重点做好以下工作：</w:t>
      </w:r>
      <w:r>
        <w:rPr>
          <w:rFonts w:hint="eastAsia" w:ascii="仿宋" w:hAnsi="仿宋" w:eastAsia="仿宋" w:cs="仿宋"/>
          <w:b w:val="0"/>
          <w:bCs w:val="0"/>
          <w:sz w:val="32"/>
          <w:szCs w:val="32"/>
        </w:rPr>
        <w:t>一是</w:t>
      </w:r>
      <w:r>
        <w:rPr>
          <w:rFonts w:hint="eastAsia" w:ascii="仿宋" w:hAnsi="仿宋" w:eastAsia="仿宋" w:cs="仿宋"/>
          <w:sz w:val="32"/>
          <w:szCs w:val="32"/>
        </w:rPr>
        <w:t>创新方式方法</w:t>
      </w:r>
      <w:r>
        <w:rPr>
          <w:rFonts w:hint="eastAsia" w:ascii="仿宋" w:hAnsi="仿宋" w:eastAsia="仿宋" w:cs="仿宋"/>
          <w:sz w:val="32"/>
          <w:szCs w:val="32"/>
          <w:lang w:eastAsia="zh-CN"/>
        </w:rPr>
        <w:t>。</w:t>
      </w:r>
      <w:r>
        <w:rPr>
          <w:rFonts w:hint="eastAsia" w:ascii="仿宋" w:hAnsi="仿宋" w:eastAsia="仿宋" w:cs="仿宋"/>
          <w:sz w:val="32"/>
          <w:szCs w:val="32"/>
        </w:rPr>
        <w:t>突出重点，注重实效，加强信息报送工作力度，</w:t>
      </w:r>
      <w:r>
        <w:rPr>
          <w:rFonts w:hint="eastAsia" w:ascii="仿宋" w:hAnsi="仿宋" w:eastAsia="仿宋" w:cs="仿宋"/>
          <w:sz w:val="32"/>
          <w:szCs w:val="32"/>
          <w:lang w:eastAsia="zh-CN"/>
        </w:rPr>
        <w:t>促进</w:t>
      </w:r>
      <w:r>
        <w:rPr>
          <w:rFonts w:hint="eastAsia" w:ascii="仿宋" w:hAnsi="仿宋" w:eastAsia="仿宋" w:cs="仿宋"/>
          <w:sz w:val="32"/>
          <w:szCs w:val="32"/>
        </w:rPr>
        <w:t>信息公开更加有序、便民、高效</w:t>
      </w:r>
      <w:r>
        <w:rPr>
          <w:rFonts w:hint="eastAsia" w:ascii="仿宋" w:hAnsi="仿宋" w:eastAsia="仿宋" w:cs="仿宋"/>
          <w:sz w:val="32"/>
          <w:szCs w:val="32"/>
          <w:lang w:eastAsia="zh-CN"/>
        </w:rPr>
        <w:t>；</w:t>
      </w:r>
      <w:r>
        <w:rPr>
          <w:rFonts w:hint="eastAsia" w:ascii="仿宋" w:hAnsi="仿宋" w:eastAsia="仿宋" w:cs="仿宋"/>
          <w:b w:val="0"/>
          <w:bCs w:val="0"/>
          <w:kern w:val="2"/>
          <w:sz w:val="32"/>
          <w:szCs w:val="32"/>
          <w:lang w:val="en-US" w:eastAsia="zh-CN" w:bidi="ar-SA"/>
        </w:rPr>
        <w:t>二是完善工作制度。</w:t>
      </w:r>
      <w:r>
        <w:rPr>
          <w:rFonts w:hint="eastAsia" w:ascii="仿宋" w:hAnsi="仿宋" w:eastAsia="仿宋" w:cs="仿宋"/>
          <w:sz w:val="32"/>
          <w:szCs w:val="32"/>
        </w:rPr>
        <w:t>进一步健全工作机制，</w:t>
      </w:r>
      <w:r>
        <w:rPr>
          <w:rFonts w:hint="eastAsia" w:ascii="仿宋" w:hAnsi="仿宋" w:eastAsia="仿宋" w:cs="仿宋"/>
          <w:sz w:val="32"/>
          <w:szCs w:val="32"/>
          <w:lang w:eastAsia="zh-CN"/>
        </w:rPr>
        <w:t>压实工作</w:t>
      </w:r>
      <w:r>
        <w:rPr>
          <w:rFonts w:hint="eastAsia" w:ascii="仿宋" w:hAnsi="仿宋" w:eastAsia="仿宋" w:cs="仿宋"/>
          <w:sz w:val="32"/>
          <w:szCs w:val="32"/>
        </w:rPr>
        <w:t>责任，</w:t>
      </w:r>
      <w:r>
        <w:rPr>
          <w:rFonts w:hint="eastAsia" w:ascii="仿宋" w:hAnsi="仿宋" w:eastAsia="仿宋" w:cs="仿宋"/>
          <w:sz w:val="32"/>
          <w:szCs w:val="32"/>
          <w:lang w:eastAsia="zh-CN"/>
        </w:rPr>
        <w:t>及时、主动、准确公开政务服务事项，以高质量政府信息公开推动文化旅游体育事业高质量发展。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kern w:val="0"/>
          <w:sz w:val="32"/>
          <w:szCs w:val="32"/>
          <w:lang w:val="en-US" w:eastAsia="zh-CN" w:bidi="ar"/>
        </w:rPr>
      </w:pPr>
      <w:r>
        <w:rPr>
          <w:rFonts w:hint="eastAsia" w:ascii="黑体" w:hAnsi="黑体" w:eastAsia="黑体" w:cs="黑体"/>
          <w:b w:val="0"/>
          <w:bCs w:val="0"/>
          <w:color w:val="333333"/>
          <w:sz w:val="32"/>
          <w:szCs w:val="32"/>
        </w:rPr>
        <w:t>六、其他需要报告的事项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（一）政府信息处理费收取情况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根据国务院办公厅印发的《政府信息公开信息处理费管理办法》关于政府信息公开信息处理费收取工作的有关规定，我局在2023年度未收到政府信息公开申请，也未对申请人收取政府信息处理费。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yellow"/>
          <w:lang w:val="en-US" w:eastAsia="zh-CN" w:bidi="ar-SA"/>
        </w:rPr>
      </w:pPr>
      <w:r>
        <w:rPr>
          <w:rFonts w:hint="eastAsia" w:ascii="楷体" w:hAnsi="楷体" w:eastAsia="楷体" w:cs="楷体"/>
          <w:b w:val="0"/>
          <w:bCs w:val="0"/>
          <w:color w:val="auto"/>
          <w:kern w:val="0"/>
          <w:sz w:val="32"/>
          <w:szCs w:val="32"/>
          <w:highlight w:val="none"/>
          <w:lang w:val="en-US" w:eastAsia="zh-CN" w:bidi="ar-SA"/>
        </w:rPr>
        <w:t>（二）议题案办理情况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2023年，区文化和旅游局共办理议提案18件，其中区人大代表建议3件（协办3件），区政协提案15件（主办13件，协办2件）。所有议题案均已办结，满意和基本满意率达到100%。</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重点领域政府信息公开情况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color w:val="auto"/>
          <w:sz w:val="32"/>
          <w:szCs w:val="32"/>
          <w:highlight w:val="none"/>
          <w:lang w:val="en-US" w:eastAsia="zh-CN"/>
        </w:rPr>
        <w:t>我局2023年在硚口区门户网站上共发布1篇文章。</w:t>
      </w:r>
      <w:r>
        <w:rPr>
          <w:rFonts w:hint="eastAsia" w:ascii="仿宋" w:hAnsi="仿宋" w:eastAsia="仿宋" w:cs="仿宋"/>
          <w:sz w:val="32"/>
          <w:szCs w:val="32"/>
          <w:lang w:val="en-US" w:eastAsia="zh-CN"/>
        </w:rPr>
        <w:t>区业余体育运动学校、汉江湾体育公园全民健身中心被国家体育总局命名为“国家体育后备人才基地（2021-2024）”</w:t>
      </w:r>
      <w:r>
        <w:rPr>
          <w:rFonts w:hint="eastAsia" w:ascii="仿宋" w:hAnsi="仿宋" w:eastAsia="仿宋" w:cs="仿宋"/>
          <w:color w:val="auto"/>
          <w:sz w:val="32"/>
          <w:szCs w:val="32"/>
          <w:highlight w:val="none"/>
          <w:lang w:val="en-US" w:eastAsia="zh-CN"/>
        </w:rPr>
        <w:t>。</w:t>
      </w:r>
    </w:p>
    <w:p>
      <w:pPr>
        <w:pStyle w:val="2"/>
        <w:pageBreakBefore w:val="0"/>
        <w:kinsoku/>
        <w:wordWrap/>
        <w:overflowPunct/>
        <w:topLinePunct w:val="0"/>
        <w:autoSpaceDE/>
        <w:autoSpaceDN/>
        <w:bidi w:val="0"/>
        <w:adjustRightInd/>
        <w:snapToGrid/>
        <w:spacing w:before="0" w:beforeLines="0" w:after="0" w:afterLines="0" w:line="560" w:lineRule="exact"/>
        <w:ind w:left="0" w:leftChars="0" w:firstLine="3577" w:firstLineChars="1118"/>
        <w:jc w:val="center"/>
        <w:textAlignment w:val="auto"/>
        <w:rPr>
          <w:rFonts w:hint="eastAsia" w:ascii="仿宋" w:hAnsi="仿宋" w:eastAsia="仿宋" w:cs="仿宋"/>
          <w:b w:val="0"/>
          <w:bCs/>
          <w:sz w:val="32"/>
          <w:szCs w:val="32"/>
          <w:lang w:val="en-US" w:eastAsia="zh-CN"/>
        </w:rPr>
      </w:pPr>
    </w:p>
    <w:p>
      <w:pPr>
        <w:rPr>
          <w:rFonts w:hint="eastAsia"/>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firstLine="3577" w:firstLineChars="1118"/>
        <w:jc w:val="center"/>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硚口区文化和旅游局</w:t>
      </w:r>
    </w:p>
    <w:p>
      <w:pPr>
        <w:pStyle w:val="2"/>
        <w:pageBreakBefore w:val="0"/>
        <w:kinsoku/>
        <w:wordWrap/>
        <w:overflowPunct/>
        <w:topLinePunct w:val="0"/>
        <w:autoSpaceDE/>
        <w:autoSpaceDN/>
        <w:bidi w:val="0"/>
        <w:adjustRightInd/>
        <w:snapToGrid/>
        <w:spacing w:before="0" w:beforeLines="0" w:after="0" w:afterLines="0" w:line="560" w:lineRule="exact"/>
        <w:ind w:left="0" w:leftChars="0" w:firstLine="3577" w:firstLineChars="1118"/>
        <w:jc w:val="center"/>
        <w:textAlignment w:val="auto"/>
        <w:rPr>
          <w:rFonts w:hint="eastAsia" w:ascii="仿宋" w:hAnsi="仿宋" w:eastAsia="仿宋" w:cs="仿宋"/>
          <w:b w:val="0"/>
          <w:bCs/>
          <w:sz w:val="32"/>
          <w:szCs w:val="32"/>
          <w:lang w:val="en-US" w:eastAsia="zh-CN"/>
        </w:rPr>
      </w:pPr>
      <w:bookmarkStart w:id="0" w:name="_GoBack"/>
      <w:bookmarkEnd w:id="0"/>
      <w:r>
        <w:rPr>
          <w:rFonts w:hint="eastAsia" w:ascii="仿宋" w:hAnsi="仿宋" w:eastAsia="仿宋" w:cs="仿宋"/>
          <w:b w:val="0"/>
          <w:bCs/>
          <w:sz w:val="32"/>
          <w:szCs w:val="32"/>
          <w:lang w:val="en-US" w:eastAsia="zh-CN"/>
        </w:rPr>
        <w:t>2024年1月4日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highlight w:val="yellow"/>
          <w:lang w:val="en-US" w:eastAsia="zh-CN"/>
        </w:rPr>
      </w:pPr>
    </w:p>
    <w:sectPr>
      <w:pgSz w:w="11906" w:h="16838"/>
      <w:pgMar w:top="1417" w:right="1304" w:bottom="1417" w:left="1587" w:header="851" w:footer="992"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48C938-FDA5-43BA-B0D2-9999F089F6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499F6BF-8D1B-4A1A-BCE7-6E3BC9D8BCA0}"/>
  </w:font>
  <w:font w:name="楷体">
    <w:panose1 w:val="02010609060101010101"/>
    <w:charset w:val="86"/>
    <w:family w:val="auto"/>
    <w:pitch w:val="default"/>
    <w:sig w:usb0="800002BF" w:usb1="38CF7CFA" w:usb2="00000016" w:usb3="00000000" w:csb0="00040001" w:csb1="00000000"/>
    <w:embedRegular r:id="rId3" w:fontKey="{7F0A1350-6BFA-440D-AC6A-04AF84615174}"/>
  </w:font>
  <w:font w:name="方正小标宋_GBK">
    <w:panose1 w:val="02000000000000000000"/>
    <w:charset w:val="86"/>
    <w:family w:val="auto"/>
    <w:pitch w:val="default"/>
    <w:sig w:usb0="A00002BF" w:usb1="38CF7CFA" w:usb2="00082016" w:usb3="00000000" w:csb0="00040001" w:csb1="00000000"/>
    <w:embedRegular r:id="rId4" w:fontKey="{920D74F3-026A-459A-9F38-296BB0603112}"/>
  </w:font>
  <w:font w:name="方正小标宋简体">
    <w:panose1 w:val="02000000000000000000"/>
    <w:charset w:val="86"/>
    <w:family w:val="auto"/>
    <w:pitch w:val="default"/>
    <w:sig w:usb0="00000001" w:usb1="08000000" w:usb2="00000000" w:usb3="00000000" w:csb0="00040000" w:csb1="00000000"/>
    <w:embedRegular r:id="rId5" w:fontKey="{F12C2719-381D-40C2-9933-7F47EEEEBF71}"/>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6" w:fontKey="{DCBCB47A-54BD-404C-908F-2DB6DA9357F4}"/>
  </w:font>
  <w:font w:name="CESI宋体-GB18030">
    <w:altName w:val="宋体"/>
    <w:panose1 w:val="02000500000000000000"/>
    <w:charset w:val="86"/>
    <w:family w:val="auto"/>
    <w:pitch w:val="default"/>
    <w:sig w:usb0="00000000" w:usb1="00000000" w:usb2="00000016" w:usb3="00000000" w:csb0="0004000F" w:csb1="00000000"/>
    <w:embedRegular r:id="rId7" w:fontKey="{C1502CB6-DA2E-4317-8299-6CFE830598E6}"/>
  </w:font>
  <w:font w:name="方正楷体_GBK">
    <w:panose1 w:val="02000000000000000000"/>
    <w:charset w:val="86"/>
    <w:family w:val="auto"/>
    <w:pitch w:val="default"/>
    <w:sig w:usb0="800002BF" w:usb1="38CF7CFA" w:usb2="00000016" w:usb3="00000000" w:csb0="00040000" w:csb1="00000000"/>
    <w:embedRegular r:id="rId8" w:fontKey="{246C8098-E087-4A27-BC0C-F208F6FDEE2C}"/>
  </w:font>
  <w:font w:name="楷体_GB2312">
    <w:panose1 w:val="02010609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0AAB6"/>
    <w:multiLevelType w:val="singleLevel"/>
    <w:tmpl w:val="9DD0AAB6"/>
    <w:lvl w:ilvl="0" w:tentative="0">
      <w:start w:val="3"/>
      <w:numFmt w:val="chineseCounting"/>
      <w:suff w:val="nothing"/>
      <w:lvlText w:val="（%1）"/>
      <w:lvlJc w:val="left"/>
      <w:rPr>
        <w:rFonts w:hint="eastAsia"/>
      </w:rPr>
    </w:lvl>
  </w:abstractNum>
  <w:abstractNum w:abstractNumId="1">
    <w:nsid w:val="C45A6C3E"/>
    <w:multiLevelType w:val="singleLevel"/>
    <w:tmpl w:val="C45A6C3E"/>
    <w:lvl w:ilvl="0" w:tentative="0">
      <w:start w:val="5"/>
      <w:numFmt w:val="chineseCounting"/>
      <w:suff w:val="nothing"/>
      <w:lvlText w:val="%1、"/>
      <w:lvlJc w:val="left"/>
      <w:rPr>
        <w:rFonts w:hint="eastAsia"/>
      </w:rPr>
    </w:lvl>
  </w:abstractNum>
  <w:abstractNum w:abstractNumId="2">
    <w:nsid w:val="5214CACB"/>
    <w:multiLevelType w:val="singleLevel"/>
    <w:tmpl w:val="5214CAC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ZDllOTAyNjdiZjI3MTY2NThiYjQ0MzU5OGE2NDEifQ=="/>
  </w:docVars>
  <w:rsids>
    <w:rsidRoot w:val="238B1E27"/>
    <w:rsid w:val="0AA1727B"/>
    <w:rsid w:val="0BC12016"/>
    <w:rsid w:val="0C4D4422"/>
    <w:rsid w:val="18255656"/>
    <w:rsid w:val="238B1E27"/>
    <w:rsid w:val="246E2621"/>
    <w:rsid w:val="297A2754"/>
    <w:rsid w:val="2B682A08"/>
    <w:rsid w:val="353377C3"/>
    <w:rsid w:val="380214FF"/>
    <w:rsid w:val="397119C0"/>
    <w:rsid w:val="565407E9"/>
    <w:rsid w:val="5BE47939"/>
    <w:rsid w:val="5DD95D69"/>
    <w:rsid w:val="61AD7A13"/>
    <w:rsid w:val="66FA467F"/>
    <w:rsid w:val="6CC5405B"/>
    <w:rsid w:val="763C5F8A"/>
    <w:rsid w:val="76FB6D06"/>
    <w:rsid w:val="777915EE"/>
    <w:rsid w:val="79FB1236"/>
    <w:rsid w:val="DE7BF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2052</Words>
  <Characters>2145</Characters>
  <Lines>0</Lines>
  <Paragraphs>0</Paragraphs>
  <TotalTime>15</TotalTime>
  <ScaleCrop>false</ScaleCrop>
  <LinksUpToDate>false</LinksUpToDate>
  <CharactersWithSpaces>2296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2021-12-21T23:19:00Z</dcterms:created>
  <dc:creator>WPS_1624785580</dc:creator>
  <cp:lastModifiedBy>哈维尔萨内蒂</cp:lastModifiedBy>
  <cp:lastPrinted>2022-01-12T09:49:00Z</cp:lastPrinted>
  <dcterms:modified xsi:type="dcterms:W3CDTF">2024-01-23T08:39:46Z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B37BA3252CBD476193C208EB16F92307_13</vt:lpwstr>
  </property>
</Properties>
</file>