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3E4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eastAsia="zh-CN"/>
        </w:rPr>
        <w:t>硚口区水务和湖泊局</w:t>
      </w:r>
      <w:r>
        <w:rPr>
          <w:rFonts w:hint="eastAsia" w:asciiTheme="majorEastAsia" w:hAnsiTheme="majorEastAsia" w:eastAsiaTheme="majorEastAsia" w:cstheme="majorEastAsia"/>
          <w:b/>
          <w:bCs/>
          <w:color w:val="auto"/>
          <w:sz w:val="44"/>
          <w:szCs w:val="44"/>
          <w:lang w:val="en-US" w:eastAsia="zh-CN"/>
        </w:rPr>
        <w:t>2024年</w:t>
      </w:r>
    </w:p>
    <w:p w14:paraId="635317E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auto"/>
          <w:sz w:val="44"/>
          <w:szCs w:val="44"/>
          <w:lang w:val="en-US" w:eastAsia="zh-CN"/>
        </w:rPr>
        <w:t>信息公开工作年度报告</w:t>
      </w:r>
      <w:bookmarkStart w:id="0" w:name="_GoBack"/>
      <w:bookmarkEnd w:id="0"/>
    </w:p>
    <w:p w14:paraId="11FD10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宋体" w:hAnsi="宋体" w:eastAsia="宋体" w:cs="宋体"/>
        </w:rPr>
      </w:pPr>
    </w:p>
    <w:p w14:paraId="2F634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rPr>
        <w:t>《中华人民共和国政府信息公开条例》第五十条规定及国务院办公厅政府信息与政务公开办公室关于印发《中华人民共和国政府信息公开工作年度报告格式》</w:t>
      </w:r>
      <w:r>
        <w:rPr>
          <w:rFonts w:hint="eastAsia" w:ascii="仿宋" w:hAnsi="仿宋" w:eastAsia="仿宋" w:cs="仿宋"/>
          <w:sz w:val="32"/>
          <w:szCs w:val="32"/>
          <w:lang w:eastAsia="zh-CN"/>
        </w:rPr>
        <w:t>（</w:t>
      </w:r>
      <w:r>
        <w:rPr>
          <w:rFonts w:hint="eastAsia" w:ascii="仿宋" w:hAnsi="仿宋" w:eastAsia="仿宋" w:cs="仿宋"/>
          <w:sz w:val="32"/>
          <w:szCs w:val="32"/>
        </w:rPr>
        <w:t>国办公开办函</w:t>
      </w:r>
      <w:r>
        <w:rPr>
          <w:rFonts w:hint="eastAsia" w:ascii="仿宋" w:hAnsi="仿宋" w:eastAsia="仿宋" w:cs="仿宋"/>
          <w:sz w:val="32"/>
          <w:szCs w:val="32"/>
          <w:lang w:eastAsia="zh-CN"/>
        </w:rPr>
        <w:t>〔2021〕30号）</w:t>
      </w:r>
      <w:r>
        <w:rPr>
          <w:rFonts w:hint="eastAsia" w:ascii="仿宋" w:hAnsi="仿宋" w:eastAsia="仿宋" w:cs="仿宋"/>
          <w:sz w:val="32"/>
          <w:szCs w:val="32"/>
        </w:rPr>
        <w:t>文件要求</w:t>
      </w:r>
      <w:r>
        <w:rPr>
          <w:rFonts w:hint="eastAsia" w:ascii="仿宋" w:hAnsi="仿宋" w:eastAsia="仿宋" w:cs="仿宋"/>
          <w:sz w:val="32"/>
          <w:szCs w:val="32"/>
          <w:lang w:val="en-US" w:eastAsia="zh-CN"/>
        </w:rPr>
        <w:t>，编制本报告。本年度报告全文包括：总体情况、主动公开政府信息情况、收到和处理政府信息公开申请情况、政府信息公开行政复议、行政诉讼情况、存在的主要问题及改进情况、其他需要报告的事项。所列统计数据时间范围为2024年1月1日至2024年12月31日。如对本报告有疑问，请联系：硚口区水务和湖泊局党政办公室，地址：硚口区古田三路2号，电话：027-83625982。</w:t>
      </w:r>
    </w:p>
    <w:p w14:paraId="71861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461BCD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区委区政府的坚强领导下，2024年硚口区水务和湖泊局严格落实《中华人民共和国政府信息公开条例》，紧紧围绕防汛、堤防管理、河湖长制、水资源管理、水土保持、水政执法等重点工作，坚持以公开促落实、以公开促规范、以公开促服务，有力、有序开展政府信息公开，政务公开的质量和效率得到明显提升，切实保障了人民群众的知情权和参与权。</w:t>
      </w:r>
    </w:p>
    <w:p w14:paraId="3C362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（一）政府信息主动公开情况</w:t>
      </w:r>
    </w:p>
    <w:p w14:paraId="48337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公示通知公告8条，公布水利领域5项重点工作完成情况、行政执法信息4项及“双随机、一公开”检查信息，公开部门预决算信息4条及财政专项资金6条，发布热点回应1次及信息简报48篇，本部门主动公开信息完成率达100%。</w:t>
      </w:r>
    </w:p>
    <w:p w14:paraId="70B9D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（二）申请政府信息公开情况</w:t>
      </w:r>
    </w:p>
    <w:p w14:paraId="5E87C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2024年，我局新收到申请政府信息公开0件，上年结转申请0件，结转下年度继续办理0件。</w:t>
      </w:r>
    </w:p>
    <w:p w14:paraId="48295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（三）政府信息管理情况</w:t>
      </w:r>
    </w:p>
    <w:p w14:paraId="03AB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我局政府信息公开工作由局办公室实行集中统一归口管理，按照相关栏目发布要求及国家、省、市、区最新要求进行信息发布。</w:t>
      </w:r>
    </w:p>
    <w:p w14:paraId="1D0A7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（四）政府信息公开平台建设情况</w:t>
      </w:r>
    </w:p>
    <w:p w14:paraId="77EEF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统一使用</w:t>
      </w:r>
      <w:r>
        <w:rPr>
          <w:rFonts w:hint="eastAsia" w:ascii="仿宋" w:hAnsi="仿宋" w:eastAsia="仿宋" w:cs="仿宋"/>
          <w:sz w:val="32"/>
          <w:szCs w:val="32"/>
          <w:lang w:eastAsia="zh-CN"/>
        </w:rPr>
        <w:t>武汉市集约化智能门户平台进行信息编发，并根据最新要求及时联系网站技术人员进行栏目调整。</w:t>
      </w:r>
    </w:p>
    <w:p w14:paraId="640F0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（五）监督保障情况</w:t>
      </w:r>
    </w:p>
    <w:p w14:paraId="4322D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局一直高度重视政务公开考核工作，不断健全体制机制，拓宽公开渠道，提升公开质量，自觉接受社会各界监督，主动听取群众意见和建议，营造公开透明的政务服务环境。2024年度，我局及相关个人未因政务公开被追究相关责任。</w:t>
      </w:r>
    </w:p>
    <w:p w14:paraId="122D9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二、主动公开政府信息情况</w:t>
      </w:r>
    </w:p>
    <w:p w14:paraId="57144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硚口区水务和湖泊局未制定规章和行政规范性文件，依托区行政审批局设立的综合窗口办理行政许可（取水许可、排水许可、水土保持审批）1132件，无行政强制，办理行政处罚案件4件，行政事业性收费（水资源费、水土保持补偿费）共</w:t>
      </w:r>
      <w:r>
        <w:rPr>
          <w:rFonts w:hint="eastAsia" w:ascii="仿宋" w:hAnsi="仿宋" w:eastAsia="仿宋" w:cs="仿宋"/>
          <w:sz w:val="32"/>
          <w:szCs w:val="32"/>
          <w:highlight w:val="none"/>
          <w:lang w:val="en-US" w:eastAsia="zh-CN"/>
        </w:rPr>
        <w:t>806103.68</w:t>
      </w:r>
      <w:r>
        <w:rPr>
          <w:rFonts w:hint="eastAsia" w:ascii="仿宋" w:hAnsi="仿宋" w:eastAsia="仿宋" w:cs="仿宋"/>
          <w:sz w:val="32"/>
          <w:szCs w:val="32"/>
          <w:lang w:val="en-US" w:eastAsia="zh-CN"/>
        </w:rPr>
        <w:t>万元。</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82"/>
        <w:gridCol w:w="2282"/>
        <w:gridCol w:w="2282"/>
        <w:gridCol w:w="2283"/>
      </w:tblGrid>
      <w:tr w14:paraId="1D8C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48FA8F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14:paraId="4420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EBE5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63FE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14CB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FF5CE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14:paraId="3F79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4" w:space="0"/>
              <w:right w:val="single" w:color="auto" w:sz="8" w:space="0"/>
            </w:tcBorders>
            <w:shd w:val="clear" w:color="auto" w:fill="auto"/>
            <w:tcMar>
              <w:left w:w="57" w:type="dxa"/>
              <w:right w:w="57" w:type="dxa"/>
            </w:tcMar>
            <w:vAlign w:val="center"/>
          </w:tcPr>
          <w:p w14:paraId="2CF01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0FE01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4" w:space="0"/>
            </w:tcBorders>
            <w:shd w:val="clear" w:color="auto" w:fill="auto"/>
            <w:tcMar>
              <w:left w:w="57" w:type="dxa"/>
              <w:right w:w="57" w:type="dxa"/>
            </w:tcMar>
            <w:vAlign w:val="center"/>
          </w:tcPr>
          <w:p w14:paraId="332B9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50" w:type="pct"/>
            <w:tcBorders>
              <w:top w:val="nil"/>
              <w:left w:val="nil"/>
              <w:bottom w:val="single" w:color="auto" w:sz="4" w:space="0"/>
              <w:right w:val="single" w:color="auto" w:sz="8" w:space="0"/>
            </w:tcBorders>
            <w:shd w:val="clear" w:color="auto" w:fill="auto"/>
            <w:tcMar>
              <w:left w:w="57" w:type="dxa"/>
              <w:right w:w="57" w:type="dxa"/>
            </w:tcMar>
            <w:vAlign w:val="center"/>
          </w:tcPr>
          <w:p w14:paraId="27732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74C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5398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7B98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05AFA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c>
          <w:tcPr>
            <w:tcW w:w="1250" w:type="pc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0A0B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0</w:t>
            </w:r>
          </w:p>
        </w:tc>
      </w:tr>
      <w:tr w14:paraId="4E50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4" w:space="0"/>
              <w:left w:val="single" w:color="auto" w:sz="8" w:space="0"/>
              <w:bottom w:val="single" w:color="auto" w:sz="8" w:space="0"/>
              <w:right w:val="single" w:color="auto" w:sz="8" w:space="0"/>
            </w:tcBorders>
            <w:shd w:val="clear" w:color="auto" w:fill="C6D9F1"/>
            <w:tcMar>
              <w:left w:w="57" w:type="dxa"/>
              <w:right w:w="57" w:type="dxa"/>
            </w:tcMar>
            <w:vAlign w:val="center"/>
          </w:tcPr>
          <w:p w14:paraId="0361A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第二十条第（五）项</w:t>
            </w:r>
          </w:p>
        </w:tc>
      </w:tr>
      <w:tr w14:paraId="5580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79687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1F10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159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103E8D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FC3BE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1132</w:t>
            </w:r>
          </w:p>
        </w:tc>
      </w:tr>
      <w:tr w14:paraId="63D1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6BD57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第二十条第（六）项</w:t>
            </w:r>
          </w:p>
        </w:tc>
      </w:tr>
      <w:tr w14:paraId="4874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51F93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263F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14:paraId="6F0B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78FF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FAFD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color w:val="auto"/>
                <w:sz w:val="21"/>
                <w:szCs w:val="21"/>
                <w:lang w:val="en-US" w:eastAsia="zh-CN"/>
              </w:rPr>
            </w:pPr>
            <w:r>
              <w:rPr>
                <w:rFonts w:hint="eastAsia" w:ascii="宋体" w:hAnsi="宋体" w:eastAsia="宋体" w:cs="宋体"/>
                <w:color w:val="auto"/>
                <w:sz w:val="21"/>
                <w:szCs w:val="21"/>
                <w:lang w:val="en-US" w:eastAsia="zh-CN"/>
              </w:rPr>
              <w:t>4</w:t>
            </w:r>
          </w:p>
        </w:tc>
      </w:tr>
      <w:tr w14:paraId="0282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A4B3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6E5C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14:paraId="585F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8D9D4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14:paraId="3402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35F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37EE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14:paraId="054E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D8EB7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620B554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80.610368</w:t>
            </w:r>
          </w:p>
        </w:tc>
      </w:tr>
    </w:tbl>
    <w:p w14:paraId="247DED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p w14:paraId="29639ACB">
      <w:pPr>
        <w:pStyle w:val="2"/>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i w:val="0"/>
          <w:caps w:val="0"/>
          <w:color w:val="auto"/>
          <w:spacing w:val="0"/>
          <w:sz w:val="32"/>
          <w:szCs w:val="32"/>
          <w:shd w:val="clear" w:fill="FFFFFF"/>
          <w:lang w:val="en-US" w:eastAsia="zh-CN"/>
        </w:rPr>
        <w:t>2024年，硚口区水务和湖泊局未收到和处理政府信息公开申请</w:t>
      </w:r>
      <w:r>
        <w:rPr>
          <w:rFonts w:hint="eastAsia" w:ascii="仿宋" w:hAnsi="仿宋" w:eastAsia="仿宋" w:cs="仿宋"/>
          <w:b w:val="0"/>
          <w:bCs/>
          <w:color w:val="auto"/>
          <w:sz w:val="32"/>
          <w:szCs w:val="32"/>
          <w:lang w:val="en-US" w:eastAsia="zh-CN"/>
        </w:rPr>
        <w:t>。</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09"/>
        <w:gridCol w:w="866"/>
        <w:gridCol w:w="3086"/>
        <w:gridCol w:w="644"/>
        <w:gridCol w:w="644"/>
        <w:gridCol w:w="644"/>
        <w:gridCol w:w="644"/>
        <w:gridCol w:w="644"/>
        <w:gridCol w:w="650"/>
        <w:gridCol w:w="647"/>
      </w:tblGrid>
      <w:tr w14:paraId="2E02D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4D9F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434B7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14:paraId="3A74F7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0E964F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545CD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6A4CD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1D57D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14:paraId="532A7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C0726B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4116F3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1" w:type="pct"/>
            <w:tcBorders>
              <w:top w:val="nil"/>
              <w:left w:val="nil"/>
              <w:bottom w:val="single" w:color="auto" w:sz="8" w:space="0"/>
              <w:right w:val="single" w:color="auto" w:sz="8" w:space="0"/>
            </w:tcBorders>
            <w:shd w:val="clear" w:color="auto" w:fill="auto"/>
            <w:vAlign w:val="center"/>
          </w:tcPr>
          <w:p w14:paraId="28B473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14:paraId="3A1EF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580664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14:paraId="337CB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FC4F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3AC19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B54D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0CD782E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14:paraId="7EFCCC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E4C4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08E1A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BE39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2CA6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1AA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35211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B7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186A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48671F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0C59C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4F0B2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5B11B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1F3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0B3C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9946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2" w:type="pct"/>
            <w:tcBorders>
              <w:top w:val="nil"/>
              <w:left w:val="nil"/>
              <w:bottom w:val="single" w:color="auto" w:sz="8" w:space="0"/>
              <w:right w:val="single" w:color="auto" w:sz="8" w:space="0"/>
            </w:tcBorders>
            <w:shd w:val="clear" w:color="auto" w:fill="auto"/>
            <w:vAlign w:val="center"/>
          </w:tcPr>
          <w:p w14:paraId="19F08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269D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r w14:paraId="77BD3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68D7B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38340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58623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14:paraId="07A39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1E8D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60F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5635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C9C24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1610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8EFE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D45488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18F3E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45430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E79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C4DC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F449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26F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AF56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060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4152AB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5036A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4" w:space="0"/>
            </w:tcBorders>
            <w:shd w:val="clear" w:color="auto" w:fill="auto"/>
            <w:vAlign w:val="center"/>
          </w:tcPr>
          <w:p w14:paraId="4EA7D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79" w:type="pct"/>
            <w:tcBorders>
              <w:top w:val="single" w:color="auto" w:sz="4" w:space="0"/>
              <w:left w:val="single" w:color="auto" w:sz="4" w:space="0"/>
              <w:bottom w:val="single" w:color="auto" w:sz="4" w:space="0"/>
              <w:right w:val="single" w:color="auto" w:sz="4" w:space="0"/>
            </w:tcBorders>
            <w:shd w:val="clear" w:color="auto" w:fill="auto"/>
            <w:vAlign w:val="top"/>
          </w:tcPr>
          <w:p w14:paraId="47A7A8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2CFE9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E87B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F342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3DA91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5502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BF1D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DBFE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E982E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2860F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F15048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4" w:space="0"/>
              <w:left w:val="nil"/>
              <w:bottom w:val="single" w:color="auto" w:sz="8" w:space="0"/>
              <w:right w:val="single" w:color="auto" w:sz="8" w:space="0"/>
            </w:tcBorders>
            <w:shd w:val="clear" w:color="auto" w:fill="auto"/>
            <w:vAlign w:val="top"/>
          </w:tcPr>
          <w:p w14:paraId="0E6B3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1" w:type="pct"/>
            <w:tcBorders>
              <w:top w:val="single" w:color="auto" w:sz="4" w:space="0"/>
              <w:left w:val="nil"/>
              <w:bottom w:val="single" w:color="auto" w:sz="8" w:space="0"/>
              <w:right w:val="single" w:color="auto" w:sz="8" w:space="0"/>
            </w:tcBorders>
            <w:shd w:val="clear" w:color="auto" w:fill="auto"/>
            <w:vAlign w:val="center"/>
          </w:tcPr>
          <w:p w14:paraId="79E19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27885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CF12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01209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46196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nil"/>
              <w:bottom w:val="single" w:color="auto" w:sz="8" w:space="0"/>
              <w:right w:val="single" w:color="auto" w:sz="8" w:space="0"/>
            </w:tcBorders>
            <w:shd w:val="clear" w:color="auto" w:fill="auto"/>
            <w:vAlign w:val="center"/>
          </w:tcPr>
          <w:p w14:paraId="6361A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nil"/>
              <w:bottom w:val="single" w:color="auto" w:sz="8" w:space="0"/>
              <w:right w:val="single" w:color="auto" w:sz="8" w:space="0"/>
            </w:tcBorders>
            <w:shd w:val="clear" w:color="auto" w:fill="auto"/>
            <w:vAlign w:val="center"/>
          </w:tcPr>
          <w:p w14:paraId="1E991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75D26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194C43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21E9F8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FE11D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3F01B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E098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840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45C4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A51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55A7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C4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7DE99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94726E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046D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F8EE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6554F0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6493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676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9D499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53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A816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F03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0F6388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6BD34D0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DEE69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5CEA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27CA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9DE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7AF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08B9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B66D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52C6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5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131A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8D68F2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77A77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4ADE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06E9C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122D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338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269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2D5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F35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D9A5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773C5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2FC49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96B5F3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6B802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5D93A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6246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BC17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3EA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A4F4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B2BD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F9B1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225E8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BD836A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411E4D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1A194D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2A73A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D043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B2D0E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3E3BB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7E7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BCB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310D23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017E3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51EFE1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7AF27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1557B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CA6F4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C63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B061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4D36F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B0EF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C63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C51E1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4885EE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D9ED9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355D0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6D5D12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A5A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C67FE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78C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DDDE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FD68E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181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05861F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1A377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57F9B4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top"/>
          </w:tcPr>
          <w:p w14:paraId="22719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04843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0D3C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F36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66F9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864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F3F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2F31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4B7F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9B87F5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985E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47724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779A4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D7F2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8D9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37E5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D5DB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07F13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4EB3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6F6AB9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833879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65E0DB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306EC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45C3A4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C946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7AD4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4BCFB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E443F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1A5DC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8A5E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0E45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738C7D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4FAD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50EF2C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4B468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E37F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DEA8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8742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69E8A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10CCD0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10D4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E6E52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CE19A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03ED58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53A2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7C7A0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65376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C12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E7E3C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303C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52B3F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AD296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0FD1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F6B4A6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BB94BC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3714B4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6EF44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459703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2D19C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9EEF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59B9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64285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1F07C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7A90E1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AA61E2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01196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316E76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67F85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1625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8D64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2B04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4F6D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F48C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90E20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61918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77CE71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6A87DA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2DE05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38AE65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5FE4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278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3E464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8DEF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F7A2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653C8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r>
      <w:tr w14:paraId="1059B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3E900A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2" w:type="pct"/>
            <w:vMerge w:val="continue"/>
            <w:tcBorders>
              <w:top w:val="outset" w:color="auto" w:sz="6" w:space="0"/>
              <w:left w:val="nil"/>
              <w:bottom w:val="single" w:color="auto" w:sz="4" w:space="0"/>
              <w:right w:val="single" w:color="auto" w:sz="8" w:space="0"/>
            </w:tcBorders>
            <w:shd w:val="clear" w:color="auto" w:fill="auto"/>
            <w:vAlign w:val="center"/>
          </w:tcPr>
          <w:p w14:paraId="74314E5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79" w:type="pct"/>
            <w:tcBorders>
              <w:top w:val="nil"/>
              <w:left w:val="nil"/>
              <w:bottom w:val="single" w:color="auto" w:sz="4" w:space="0"/>
              <w:right w:val="single" w:color="auto" w:sz="8" w:space="0"/>
            </w:tcBorders>
            <w:shd w:val="clear" w:color="auto" w:fill="auto"/>
            <w:vAlign w:val="center"/>
          </w:tcPr>
          <w:p w14:paraId="65A804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1" w:type="pct"/>
            <w:tcBorders>
              <w:top w:val="nil"/>
              <w:left w:val="nil"/>
              <w:bottom w:val="single" w:color="auto" w:sz="4" w:space="0"/>
              <w:right w:val="single" w:color="auto" w:sz="8" w:space="0"/>
            </w:tcBorders>
            <w:shd w:val="clear" w:color="auto" w:fill="auto"/>
            <w:vAlign w:val="center"/>
          </w:tcPr>
          <w:p w14:paraId="2815AC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0C2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728BE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154FB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3D328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4" w:space="0"/>
              <w:right w:val="single" w:color="auto" w:sz="8" w:space="0"/>
            </w:tcBorders>
            <w:shd w:val="clear" w:color="auto" w:fill="auto"/>
            <w:vAlign w:val="center"/>
          </w:tcPr>
          <w:p w14:paraId="64B650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4" w:space="0"/>
              <w:right w:val="single" w:color="auto" w:sz="8" w:space="0"/>
            </w:tcBorders>
            <w:shd w:val="clear" w:color="auto" w:fill="auto"/>
            <w:vAlign w:val="center"/>
          </w:tcPr>
          <w:p w14:paraId="02A3C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254DAF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4" w:space="0"/>
            </w:tcBorders>
            <w:shd w:val="clear" w:color="auto" w:fill="auto"/>
            <w:vAlign w:val="center"/>
          </w:tcPr>
          <w:p w14:paraId="3B91C5D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2CE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C9F9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1277CD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677ED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70073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40312F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23AB02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14:paraId="5EFE5B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r>
      <w:tr w14:paraId="1C9F65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4207F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0CF74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DC7F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4EA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CBDC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F272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EE9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5225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3F7D217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p w14:paraId="1210DE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lang w:val="en-US" w:eastAsia="zh-CN"/>
        </w:rPr>
      </w:pPr>
      <w:r>
        <w:rPr>
          <w:rFonts w:hint="eastAsia" w:ascii="仿宋" w:hAnsi="仿宋" w:eastAsia="仿宋" w:cs="仿宋"/>
          <w:i w:val="0"/>
          <w:caps w:val="0"/>
          <w:color w:val="auto"/>
          <w:spacing w:val="0"/>
          <w:sz w:val="32"/>
          <w:szCs w:val="32"/>
          <w:shd w:val="clear" w:fill="FFFFFF"/>
          <w:lang w:val="en-US" w:eastAsia="zh-CN"/>
        </w:rPr>
        <w:t>2024年，硚口区水务和湖泊局未发生因政府信息公开工作被申请行政复议或被提起行政诉讼的情况</w:t>
      </w:r>
      <w:r>
        <w:rPr>
          <w:rFonts w:hint="eastAsia" w:ascii="仿宋" w:hAnsi="仿宋" w:eastAsia="仿宋" w:cs="仿宋"/>
          <w:color w:val="auto"/>
          <w:sz w:val="32"/>
          <w:szCs w:val="32"/>
          <w:lang w:val="en-US" w:eastAsia="zh-CN"/>
        </w:rPr>
        <w:t>。</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2"/>
        <w:gridCol w:w="613"/>
        <w:gridCol w:w="613"/>
        <w:gridCol w:w="613"/>
        <w:gridCol w:w="622"/>
        <w:gridCol w:w="613"/>
        <w:gridCol w:w="613"/>
        <w:gridCol w:w="615"/>
        <w:gridCol w:w="615"/>
        <w:gridCol w:w="620"/>
        <w:gridCol w:w="615"/>
        <w:gridCol w:w="615"/>
        <w:gridCol w:w="615"/>
        <w:gridCol w:w="615"/>
        <w:gridCol w:w="620"/>
      </w:tblGrid>
      <w:tr w14:paraId="3169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D8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2A65D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14:paraId="220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233B6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61C00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D6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549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4D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DE5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3CF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14:paraId="16D6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3F4C3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524056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377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1CB6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530E2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27C2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96E54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25D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5270B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0D2888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DA070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F50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A75B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1E31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1C7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14:paraId="42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15CC5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F5210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02D83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F76C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5B846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363F1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1B2D0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CE9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B4883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18EE5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D81F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B667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6D719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color w:val="auto"/>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1F86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lang w:val="en-US"/>
              </w:rPr>
            </w:pPr>
            <w:r>
              <w:rPr>
                <w:rFonts w:hint="eastAsia" w:ascii="宋体" w:hAnsi="宋体" w:eastAsia="宋体" w:cs="宋体"/>
                <w:color w:val="auto"/>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452E0C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p>
        </w:tc>
      </w:tr>
    </w:tbl>
    <w:p w14:paraId="054A0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487B8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（一）2023年度政府信息公开工作存在的问题</w:t>
      </w:r>
    </w:p>
    <w:p w14:paraId="7105B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一是部分板块信息发布不及时；二是部分板块信息发布内容不全面；三是公开发布的信息和群众真正想要的信息有时存在“错位”现象，在与群众生活密切相关的公共服务领域主动公开信息有待进一步增强。</w:t>
      </w:r>
    </w:p>
    <w:p w14:paraId="525722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（二）2023年度问题在本年度的改进情况</w:t>
      </w:r>
    </w:p>
    <w:p w14:paraId="5E3F9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仿宋" w:hAnsi="仿宋" w:eastAsia="仿宋" w:cs="仿宋"/>
          <w:sz w:val="32"/>
          <w:szCs w:val="32"/>
          <w:lang w:val="en-US" w:eastAsia="zh-CN"/>
        </w:rPr>
        <w:t>一是加强信息发布管理。明确信息发布责任人，优化信息发布流程，按照各栏目发布时限、更新周期要求及时发布信息。二是完善充实公开内容。按照《中华人民共和国政府信息公开条例》规定，全面、准确公开政府信息。同时，加强对公开内容的审核和监督，确保信息的真实性和准确性。三是聚焦群众关切事项。坚持把人民群众最关心、最关注的事项作为政府信息公开的重点，在基本内容公开的基础上，围绕群众关注焦点，进一步加强信息公开，积极推进群众服务工作，真正做到“信息公开为人民”，不断提升政府信息公开的阳光行政水平。</w:t>
      </w:r>
    </w:p>
    <w:p w14:paraId="0D183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（三）2024年度政府信息公开工作存在的问题</w:t>
      </w:r>
    </w:p>
    <w:p w14:paraId="1A834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公开意识有待提升。对政务公开重要性认识不足，未能从转变政府职能、建设法治政府的高度来认识和推进政府信息公开工作。二是公开队伍不健全。政府信息公开工作涉及面广、工作量大，但单位中负责政府信息公开工作的人员更换较为频繁，一定程度上影响了工作的延续性和公开质量。三是公开内容深度和广度不足。部分政府信息公开还停留在表面，未能深入解读涉及群众切身利益的政策举措，未能充分满足群众对政务信息的多元化需求。</w:t>
      </w:r>
    </w:p>
    <w:p w14:paraId="44E4B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（四）下年度改进举措</w:t>
      </w:r>
    </w:p>
    <w:p w14:paraId="09AB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完善基层政务公开标准目录，逐步做好重点领域政府信息公开工作，确保“应公开、尽公开”。二是开展业务培训，针对政府信息公开工作队伍的专业能力问题，通过培训提升工作人员对政府信息公开政策法规和业务知识的掌握程度，提高政府信息公开工作的专业性和规范性。三是深化公开内容，在公开内容上注重拓展深度和广度，加强对涉及群众利益的政策举措的解读和宣传，确保群众能够及时、准确地获取所需信息。</w:t>
      </w:r>
    </w:p>
    <w:p w14:paraId="680F9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05E3C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（一）政府信息处理费收取情况</w:t>
      </w:r>
    </w:p>
    <w:p w14:paraId="38585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国务院办公厅印发的《政府信息公开信息处理费管理办法》关于政府信息公开信息处理费收取工作的有关规定，我局在2024年度没有收到超过一定数量或频次范围的政府信息公开申请，也未对申请人收取政府信息处理费。</w:t>
      </w:r>
    </w:p>
    <w:p w14:paraId="4ECAB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（二）议提案办理情况</w:t>
      </w:r>
    </w:p>
    <w:p w14:paraId="7B9C0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sz w:val="32"/>
          <w:szCs w:val="32"/>
          <w:lang w:val="en-US" w:eastAsia="zh-CN"/>
        </w:rPr>
      </w:pPr>
      <w:r>
        <w:rPr>
          <w:rFonts w:hint="eastAsia" w:ascii="仿宋" w:hAnsi="仿宋" w:eastAsia="仿宋" w:cs="仿宋"/>
          <w:sz w:val="32"/>
          <w:szCs w:val="32"/>
          <w:lang w:val="en-US" w:eastAsia="zh-CN"/>
        </w:rPr>
        <w:t>2024年，我局共办理议提案8件，其中区人大代表建议3件（主办1件，协办2件），区政协提案5件（主办2件，协办3件）。所有议提案均已办结，主办议提案满意率达到100%。</w:t>
      </w:r>
    </w:p>
    <w:p w14:paraId="14D50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楷体" w:hAnsi="楷体" w:eastAsia="楷体" w:cs="楷体"/>
          <w:sz w:val="32"/>
          <w:szCs w:val="32"/>
          <w:lang w:val="en-US" w:eastAsia="zh-CN"/>
        </w:rPr>
        <w:t>（三）重点领域政府信息公开情况</w:t>
      </w:r>
    </w:p>
    <w:p w14:paraId="0EA3E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2024年，我局在硚口区门户网站上共发布46篇信息，涉及河湖长制、黑臭水体整治、水土保持、行政执法、财政资金使用情况等多个方面。</w:t>
      </w:r>
    </w:p>
    <w:p w14:paraId="4ABD6539">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仿宋" w:hAnsi="仿宋" w:eastAsia="仿宋" w:cs="仿宋"/>
          <w:sz w:val="32"/>
          <w:szCs w:val="32"/>
          <w:highlight w:val="none"/>
          <w:lang w:val="en-US" w:eastAsia="zh-CN"/>
        </w:rPr>
      </w:pPr>
    </w:p>
    <w:p w14:paraId="6C726305">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EA54E5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武汉市硚口区水务和湖泊局</w:t>
      </w:r>
    </w:p>
    <w:p w14:paraId="76DF67B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sz w:val="32"/>
          <w:szCs w:val="32"/>
          <w:lang w:val="en-US" w:eastAsia="zh-CN"/>
        </w:rPr>
        <w:t xml:space="preserve">                                2025年1月15日</w:t>
      </w:r>
    </w:p>
    <w:sectPr>
      <w:pgSz w:w="11906" w:h="16838"/>
      <w:pgMar w:top="1417" w:right="130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YmI1MzgzYzk3YzFhYTU4NDQ2ODU1MDY0OTNlYjUifQ=="/>
  </w:docVars>
  <w:rsids>
    <w:rsidRoot w:val="7D3E25D5"/>
    <w:rsid w:val="02196E91"/>
    <w:rsid w:val="02ED7B38"/>
    <w:rsid w:val="0BB058B3"/>
    <w:rsid w:val="1452488B"/>
    <w:rsid w:val="1CEB2E2A"/>
    <w:rsid w:val="1FFE26E9"/>
    <w:rsid w:val="26E23380"/>
    <w:rsid w:val="28BE78C9"/>
    <w:rsid w:val="2A3D1EA3"/>
    <w:rsid w:val="2A730F56"/>
    <w:rsid w:val="320146C5"/>
    <w:rsid w:val="33B67237"/>
    <w:rsid w:val="51E732E9"/>
    <w:rsid w:val="52413C4A"/>
    <w:rsid w:val="54F11482"/>
    <w:rsid w:val="58290523"/>
    <w:rsid w:val="5B215C36"/>
    <w:rsid w:val="6B19109E"/>
    <w:rsid w:val="76D618EB"/>
    <w:rsid w:val="7A576AF1"/>
    <w:rsid w:val="7AA225F9"/>
    <w:rsid w:val="7D3E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3019</Words>
  <Characters>3137</Characters>
  <Lines>0</Lines>
  <Paragraphs>0</Paragraphs>
  <TotalTime>189</TotalTime>
  <ScaleCrop>false</ScaleCrop>
  <LinksUpToDate>false</LinksUpToDate>
  <CharactersWithSpaces>3169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2024-01-09T08:26:00Z</dcterms:created>
  <dc:creator>15172530578</dc:creator>
  <cp:lastModifiedBy>Windows</cp:lastModifiedBy>
  <dcterms:modified xsi:type="dcterms:W3CDTF">2025-12-12T08:32:09Z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F63E7287E35144A3A2AAA3AB51704E7F_13</vt:lpwstr>
  </property>
  <property fmtid="{D5CDD505-2E9C-101B-9397-08002B2CF9AE}" pid="4" name="KSOTemplateDocerSaveRecord">
    <vt:lpwstr>eyJoZGlkIjoiNjEyYmI1MzgzYzk3YzFhYTU4NDQ2ODU1MDY0OTNlYjUifQ==</vt:lpwstr>
  </property>
</Properties>
</file>