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AD516">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硚口区教育局2024年</w:t>
      </w:r>
      <w:r>
        <w:rPr>
          <w:rFonts w:hint="eastAsia" w:ascii="方正小标宋_GBK" w:hAnsi="方正小标宋_GBK" w:eastAsia="方正小标宋_GBK" w:cs="方正小标宋_GBK"/>
          <w:b w:val="0"/>
          <w:bCs w:val="0"/>
          <w:sz w:val="44"/>
          <w:szCs w:val="44"/>
        </w:rPr>
        <w:t>政府</w:t>
      </w:r>
    </w:p>
    <w:p w14:paraId="1F53D5BB">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信息公开工作年度报告</w:t>
      </w:r>
    </w:p>
    <w:p w14:paraId="5115A3D2">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p>
    <w:p w14:paraId="02A9868D">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color w:val="auto"/>
          <w:kern w:val="0"/>
          <w:sz w:val="32"/>
          <w:szCs w:val="32"/>
          <w:lang w:val="en-US" w:eastAsia="zh-CN" w:bidi="ar"/>
        </w:rPr>
        <w:t>依据《中华人民共和国政府信息公开条例》（以下简称《政府信息公开条例》）第五十条和《关于印发中华人民共和国政府信息公开工作年度报告格式的通知》（国办公开办函〔2021〕30号）规定，编制本报告。本年度报告全文包括：总体情况、主动公开政府信息情况、收到和处理政府信息公开申请情况、政府信息公开行政复议、行政诉讼情况、存在的主要问题及改进情况、其他需要报告的事项。所列统计数据时间范围为2024年1月1日至2024年12月31日。如对本报告有疑问，请联系：硚口区教育局局党政办公室，地址：硚口区京汉大道375号，电话：027-83766777。</w:t>
      </w:r>
    </w:p>
    <w:p w14:paraId="399FBB11">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333333"/>
          <w:sz w:val="32"/>
          <w:szCs w:val="32"/>
        </w:rPr>
        <w:t>一、总体情况</w:t>
      </w:r>
    </w:p>
    <w:p w14:paraId="51B84F5B">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2024年，在区委、区政府的正确领导下，我局坚持以习近平新时代中国特色社会主义思想为指导，全面贯彻党的二十届三中全会精神，认真贯彻落实《政府信息公开条例》和省、市、区工作部署要求。</w:t>
      </w:r>
    </w:p>
    <w:p w14:paraId="1A52A144">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（一）政府信息主动公开情况</w:t>
      </w:r>
    </w:p>
    <w:p w14:paraId="6A732EA3">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我局坚持依法行政，严格贯彻落实主动公开、信息安全审查等相关工作程序，积极主动公开各种政府信息。全年主动公开信息21条，2024年5月20日区教育局在硚口区人民政府网站上发布中小学招生政策相关文件，其中包括中小学招生划片信息；发布教师招聘相关信息，其中包括成绩公示和录取结果；发布2024年度全区幼儿园办园水平评估结果公示等。</w:t>
      </w:r>
    </w:p>
    <w:p w14:paraId="782E859E">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（二）政府信息依申请公开情况</w:t>
      </w:r>
    </w:p>
    <w:p w14:paraId="200E85B1">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规范依申请公开的受理、审查、答复、时限和程序，由党政办公室处理政府信息公开申请，收到提交的申请后及时处置，对于已经主动公开政府信息立即回复告知申请方获取信息的方式和途径；对没有公开的政府信息转交相关科室办理，并在规定时间内将答复反馈申请人。全年受理依申请公</w:t>
      </w:r>
      <w:r>
        <w:rPr>
          <w:rFonts w:hint="eastAsia" w:ascii="仿宋" w:hAnsi="仿宋" w:eastAsia="仿宋" w:cs="仿宋"/>
          <w:color w:val="auto"/>
          <w:sz w:val="32"/>
          <w:szCs w:val="32"/>
          <w:lang w:val="en-US" w:eastAsia="zh-CN"/>
        </w:rPr>
        <w:t>开</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val="en-US" w:eastAsia="zh-CN"/>
        </w:rPr>
        <w:t>件</w:t>
      </w:r>
      <w:r>
        <w:rPr>
          <w:rFonts w:hint="eastAsia" w:ascii="仿宋" w:hAnsi="仿宋" w:eastAsia="仿宋" w:cs="仿宋"/>
          <w:sz w:val="32"/>
          <w:szCs w:val="32"/>
          <w:lang w:val="en-US" w:eastAsia="zh-CN"/>
        </w:rPr>
        <w:t>。</w:t>
      </w:r>
      <w:bookmarkStart w:id="0" w:name="_GoBack"/>
      <w:bookmarkEnd w:id="0"/>
    </w:p>
    <w:p w14:paraId="408BE06E">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（三）政府信息管理情况</w:t>
      </w:r>
    </w:p>
    <w:p w14:paraId="26204396">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执行信息公开规章制度，做到用制度管人、依制度办事。安排党政办公室专职人员积极做好信息发布工作，做到政务信息和重大信息及时更新。加强对政务网站信息发布的审核和管理，确保公开信息的准确性、权威性、完整性和时效性。</w:t>
      </w:r>
    </w:p>
    <w:p w14:paraId="246D5257">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（四）政府信息公开平台建设情况</w:t>
      </w:r>
    </w:p>
    <w:p w14:paraId="44A7CE4B">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积极回应社会关切，通过电话咨询投诉、市民热线等互动交流栏目办理网上咨询投诉3000余件，积极回应人民群众的诉求。做到“民有所呼、我有所应”，突出服务群众。在幼儿园办园水平评估结果、招生入学、教师招聘、普惠性民办幼儿园认定结果、评优评先等社会重点关切领域及时公开相关政策和办理流程。</w:t>
      </w:r>
    </w:p>
    <w:p w14:paraId="486A7A1D">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（五）监督保障情况</w:t>
      </w:r>
    </w:p>
    <w:p w14:paraId="7422D033">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我局高度重视信息公开考核工作，自觉接受社会各界监督，主动听取群众意见和建议。2024年度，单位及相关个人未因政务公开被责任追究。</w:t>
      </w:r>
    </w:p>
    <w:p w14:paraId="7F8D87C2">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p w14:paraId="714BCFF7">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硚口区2024年适龄儿童全面比对核查信息，因身体原因等因素由监护人提出缓学申请备案49人；义务教育阶段由监护人提出休学申请备案184人。2024年度全区适龄儿童、少年因身体状况需要延缓入学或者休学审批处理决定数量合计233人。行政性事业收费为高中学费和高考等招生考试报名收费等收入。</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338"/>
        <w:gridCol w:w="2339"/>
        <w:gridCol w:w="2339"/>
        <w:gridCol w:w="2339"/>
      </w:tblGrid>
      <w:tr w14:paraId="1C63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9" w:hRule="atLeast"/>
          <w:jc w:val="center"/>
        </w:trPr>
        <w:tc>
          <w:tcPr>
            <w:tcW w:w="5000" w:type="pct"/>
            <w:gridSpan w:val="4"/>
            <w:shd w:val="clear" w:color="auto" w:fill="C6D9F1"/>
            <w:tcMar>
              <w:left w:w="57" w:type="dxa"/>
              <w:right w:w="57" w:type="dxa"/>
            </w:tcMar>
            <w:vAlign w:val="center"/>
          </w:tcPr>
          <w:p w14:paraId="1C86B7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14:paraId="71CF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250" w:type="pct"/>
            <w:shd w:val="clear" w:color="auto" w:fill="auto"/>
            <w:tcMar>
              <w:left w:w="57" w:type="dxa"/>
              <w:right w:w="57" w:type="dxa"/>
            </w:tcMar>
            <w:vAlign w:val="center"/>
          </w:tcPr>
          <w:p w14:paraId="70A356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1250" w:type="pct"/>
            <w:shd w:val="clear" w:color="auto" w:fill="auto"/>
            <w:tcMar>
              <w:left w:w="57" w:type="dxa"/>
              <w:right w:w="57" w:type="dxa"/>
            </w:tcMar>
            <w:vAlign w:val="center"/>
          </w:tcPr>
          <w:p w14:paraId="6176A3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shd w:val="clear" w:color="auto" w:fill="auto"/>
            <w:tcMar>
              <w:left w:w="57" w:type="dxa"/>
              <w:right w:w="57" w:type="dxa"/>
            </w:tcMar>
            <w:vAlign w:val="center"/>
          </w:tcPr>
          <w:p w14:paraId="4B2E06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shd w:val="clear" w:color="auto" w:fill="auto"/>
            <w:tcMar>
              <w:left w:w="57" w:type="dxa"/>
              <w:right w:w="57" w:type="dxa"/>
            </w:tcMar>
            <w:vAlign w:val="center"/>
          </w:tcPr>
          <w:p w14:paraId="5C0389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14:paraId="6241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250" w:type="pct"/>
            <w:shd w:val="clear" w:color="auto" w:fill="auto"/>
            <w:tcMar>
              <w:left w:w="57" w:type="dxa"/>
              <w:right w:w="57" w:type="dxa"/>
            </w:tcMar>
            <w:vAlign w:val="center"/>
          </w:tcPr>
          <w:p w14:paraId="005302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1250" w:type="pct"/>
            <w:shd w:val="clear" w:color="auto" w:fill="auto"/>
            <w:tcMar>
              <w:left w:w="57" w:type="dxa"/>
              <w:right w:w="57" w:type="dxa"/>
            </w:tcMar>
            <w:vAlign w:val="center"/>
          </w:tcPr>
          <w:p w14:paraId="28289F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shd w:val="clear" w:color="auto" w:fill="auto"/>
            <w:tcMar>
              <w:left w:w="57" w:type="dxa"/>
              <w:right w:w="57" w:type="dxa"/>
            </w:tcMar>
            <w:vAlign w:val="center"/>
          </w:tcPr>
          <w:p w14:paraId="6C31B9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shd w:val="clear" w:color="auto" w:fill="auto"/>
            <w:tcMar>
              <w:left w:w="57" w:type="dxa"/>
              <w:right w:w="57" w:type="dxa"/>
            </w:tcMar>
            <w:vAlign w:val="center"/>
          </w:tcPr>
          <w:p w14:paraId="138E51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000000"/>
                <w:kern w:val="0"/>
                <w:sz w:val="21"/>
                <w:szCs w:val="21"/>
                <w:lang w:val="en-US" w:bidi="ar"/>
              </w:rPr>
            </w:pPr>
            <w:r>
              <w:rPr>
                <w:rFonts w:hint="eastAsia" w:ascii="宋体" w:hAnsi="宋体" w:eastAsia="宋体" w:cs="宋体"/>
                <w:color w:val="000000"/>
                <w:kern w:val="0"/>
                <w:sz w:val="21"/>
                <w:szCs w:val="21"/>
                <w:lang w:val="en-US" w:eastAsia="zh-CN" w:bidi="ar"/>
              </w:rPr>
              <w:t>0</w:t>
            </w:r>
          </w:p>
        </w:tc>
      </w:tr>
      <w:tr w14:paraId="136E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250" w:type="pct"/>
            <w:shd w:val="clear" w:color="auto" w:fill="auto"/>
            <w:tcMar>
              <w:left w:w="57" w:type="dxa"/>
              <w:right w:w="57" w:type="dxa"/>
            </w:tcMar>
            <w:vAlign w:val="center"/>
          </w:tcPr>
          <w:p w14:paraId="1D50BF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shd w:val="clear" w:color="auto" w:fill="auto"/>
            <w:tcMar>
              <w:left w:w="57" w:type="dxa"/>
              <w:right w:w="57" w:type="dxa"/>
            </w:tcMar>
            <w:vAlign w:val="center"/>
          </w:tcPr>
          <w:p w14:paraId="3A87CE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shd w:val="clear" w:color="auto" w:fill="auto"/>
            <w:tcMar>
              <w:left w:w="57" w:type="dxa"/>
              <w:right w:w="57" w:type="dxa"/>
            </w:tcMar>
            <w:vAlign w:val="center"/>
          </w:tcPr>
          <w:p w14:paraId="6D35C5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shd w:val="clear" w:color="auto" w:fill="auto"/>
            <w:tcMar>
              <w:left w:w="57" w:type="dxa"/>
              <w:right w:w="57" w:type="dxa"/>
            </w:tcMar>
            <w:vAlign w:val="center"/>
          </w:tcPr>
          <w:p w14:paraId="402431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000000"/>
                <w:kern w:val="0"/>
                <w:sz w:val="21"/>
                <w:szCs w:val="21"/>
                <w:lang w:val="en-US" w:bidi="ar"/>
              </w:rPr>
            </w:pPr>
            <w:r>
              <w:rPr>
                <w:rFonts w:hint="eastAsia" w:ascii="宋体" w:hAnsi="宋体" w:eastAsia="宋体" w:cs="宋体"/>
                <w:color w:val="000000"/>
                <w:kern w:val="0"/>
                <w:sz w:val="21"/>
                <w:szCs w:val="21"/>
                <w:lang w:val="en-US" w:eastAsia="zh-CN" w:bidi="ar"/>
              </w:rPr>
              <w:t>0</w:t>
            </w:r>
          </w:p>
        </w:tc>
      </w:tr>
      <w:tr w14:paraId="0E5B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5000" w:type="pct"/>
            <w:gridSpan w:val="4"/>
            <w:shd w:val="clear" w:color="auto" w:fill="C6D9F1"/>
            <w:tcMar>
              <w:left w:w="57" w:type="dxa"/>
              <w:right w:w="57" w:type="dxa"/>
            </w:tcMar>
            <w:vAlign w:val="center"/>
          </w:tcPr>
          <w:p w14:paraId="2A3BF1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14:paraId="48C0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250" w:type="pct"/>
            <w:shd w:val="clear" w:color="auto" w:fill="auto"/>
            <w:tcMar>
              <w:left w:w="57" w:type="dxa"/>
              <w:right w:w="57" w:type="dxa"/>
            </w:tcMar>
            <w:vAlign w:val="center"/>
          </w:tcPr>
          <w:p w14:paraId="3F3F30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shd w:val="clear" w:color="auto" w:fill="auto"/>
            <w:tcMar>
              <w:left w:w="57" w:type="dxa"/>
              <w:right w:w="57" w:type="dxa"/>
            </w:tcMar>
            <w:vAlign w:val="center"/>
          </w:tcPr>
          <w:p w14:paraId="0A858D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14:paraId="7137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250" w:type="pct"/>
            <w:shd w:val="clear" w:color="auto" w:fill="auto"/>
            <w:tcMar>
              <w:left w:w="57" w:type="dxa"/>
              <w:right w:w="57" w:type="dxa"/>
            </w:tcMar>
            <w:vAlign w:val="center"/>
          </w:tcPr>
          <w:p w14:paraId="07E4B3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行政许可</w:t>
            </w:r>
          </w:p>
        </w:tc>
        <w:tc>
          <w:tcPr>
            <w:tcW w:w="3750" w:type="pct"/>
            <w:gridSpan w:val="3"/>
            <w:shd w:val="clear" w:color="auto" w:fill="auto"/>
            <w:tcMar>
              <w:left w:w="57" w:type="dxa"/>
              <w:right w:w="57" w:type="dxa"/>
            </w:tcMar>
            <w:vAlign w:val="center"/>
          </w:tcPr>
          <w:p w14:paraId="13C657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eastAsiaTheme="minorEastAsia"/>
                <w:sz w:val="21"/>
                <w:szCs w:val="21"/>
                <w:lang w:val="en-US" w:eastAsia="zh-CN"/>
              </w:rPr>
            </w:pPr>
            <w:r>
              <w:rPr>
                <w:rFonts w:hint="eastAsia" w:ascii="宋体" w:hAnsi="宋体" w:eastAsia="宋体" w:cs="宋体"/>
                <w:sz w:val="21"/>
                <w:szCs w:val="21"/>
                <w:lang w:val="en-US" w:eastAsia="zh-CN"/>
              </w:rPr>
              <w:t>233</w:t>
            </w:r>
          </w:p>
        </w:tc>
      </w:tr>
      <w:tr w14:paraId="53BD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5000" w:type="pct"/>
            <w:gridSpan w:val="4"/>
            <w:shd w:val="clear" w:color="auto" w:fill="C6D9F1"/>
            <w:tcMar>
              <w:left w:w="57" w:type="dxa"/>
              <w:right w:w="57" w:type="dxa"/>
            </w:tcMar>
            <w:vAlign w:val="center"/>
          </w:tcPr>
          <w:p w14:paraId="04FDA4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14:paraId="4DAC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250" w:type="pct"/>
            <w:shd w:val="clear" w:color="auto" w:fill="auto"/>
            <w:tcMar>
              <w:left w:w="57" w:type="dxa"/>
              <w:right w:w="57" w:type="dxa"/>
            </w:tcMar>
            <w:vAlign w:val="center"/>
          </w:tcPr>
          <w:p w14:paraId="05BA16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shd w:val="clear" w:color="auto" w:fill="auto"/>
            <w:tcMar>
              <w:left w:w="57" w:type="dxa"/>
              <w:right w:w="57" w:type="dxa"/>
            </w:tcMar>
            <w:vAlign w:val="center"/>
          </w:tcPr>
          <w:p w14:paraId="35071F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14:paraId="0E76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250" w:type="pct"/>
            <w:shd w:val="clear" w:color="auto" w:fill="auto"/>
            <w:tcMar>
              <w:left w:w="57" w:type="dxa"/>
              <w:right w:w="57" w:type="dxa"/>
            </w:tcMar>
            <w:vAlign w:val="center"/>
          </w:tcPr>
          <w:p w14:paraId="2CF8CA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shd w:val="clear" w:color="auto" w:fill="auto"/>
            <w:tcMar>
              <w:left w:w="57" w:type="dxa"/>
              <w:right w:w="57" w:type="dxa"/>
            </w:tcMar>
            <w:vAlign w:val="center"/>
          </w:tcPr>
          <w:p w14:paraId="75C6A4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1</w:t>
            </w:r>
          </w:p>
        </w:tc>
      </w:tr>
      <w:tr w14:paraId="2C5C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250" w:type="pct"/>
            <w:shd w:val="clear" w:color="auto" w:fill="auto"/>
            <w:tcMar>
              <w:left w:w="57" w:type="dxa"/>
              <w:right w:w="57" w:type="dxa"/>
            </w:tcMar>
            <w:vAlign w:val="center"/>
          </w:tcPr>
          <w:p w14:paraId="28E56A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shd w:val="clear" w:color="auto" w:fill="auto"/>
            <w:tcMar>
              <w:left w:w="57" w:type="dxa"/>
              <w:right w:w="57" w:type="dxa"/>
            </w:tcMar>
            <w:vAlign w:val="center"/>
          </w:tcPr>
          <w:p w14:paraId="272E6C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r>
      <w:tr w14:paraId="1FF6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5000" w:type="pct"/>
            <w:gridSpan w:val="4"/>
            <w:shd w:val="clear" w:color="auto" w:fill="C6D9F1"/>
            <w:tcMar>
              <w:left w:w="57" w:type="dxa"/>
              <w:right w:w="57" w:type="dxa"/>
            </w:tcMar>
            <w:vAlign w:val="center"/>
          </w:tcPr>
          <w:p w14:paraId="50DCD4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14:paraId="4632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250" w:type="pct"/>
            <w:shd w:val="clear" w:color="auto" w:fill="auto"/>
            <w:tcMar>
              <w:left w:w="57" w:type="dxa"/>
              <w:right w:w="57" w:type="dxa"/>
            </w:tcMar>
            <w:vAlign w:val="center"/>
          </w:tcPr>
          <w:p w14:paraId="1A279D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shd w:val="clear" w:color="auto" w:fill="auto"/>
            <w:tcMar>
              <w:left w:w="57" w:type="dxa"/>
              <w:right w:w="57" w:type="dxa"/>
            </w:tcMar>
            <w:vAlign w:val="center"/>
          </w:tcPr>
          <w:p w14:paraId="34BE75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14:paraId="1228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250" w:type="pct"/>
            <w:shd w:val="clear" w:color="auto" w:fill="auto"/>
            <w:tcMar>
              <w:left w:w="57" w:type="dxa"/>
              <w:right w:w="57" w:type="dxa"/>
            </w:tcMar>
            <w:vAlign w:val="center"/>
          </w:tcPr>
          <w:p w14:paraId="38EBE4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shd w:val="clear" w:color="auto" w:fill="auto"/>
            <w:tcMar>
              <w:left w:w="57" w:type="dxa"/>
              <w:right w:w="57" w:type="dxa"/>
            </w:tcMar>
            <w:vAlign w:val="center"/>
          </w:tcPr>
          <w:p w14:paraId="0BE8C134">
            <w:pPr>
              <w:jc w:val="center"/>
              <w:rPr>
                <w:rFonts w:hint="eastAsia" w:ascii="宋体" w:hAnsi="宋体" w:eastAsia="宋体" w:cs="宋体"/>
                <w:color w:val="333333"/>
                <w:sz w:val="21"/>
                <w:szCs w:val="21"/>
              </w:rPr>
            </w:pPr>
            <w:r>
              <w:rPr>
                <w:rFonts w:hint="eastAsia" w:ascii="宋体" w:hAnsi="宋体" w:eastAsia="宋体" w:cs="宋体"/>
                <w:color w:val="333333"/>
                <w:sz w:val="21"/>
                <w:szCs w:val="21"/>
              </w:rPr>
              <w:t>1489.59</w:t>
            </w:r>
          </w:p>
        </w:tc>
      </w:tr>
    </w:tbl>
    <w:p w14:paraId="7093C9A4">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p w14:paraId="6C3275E7">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2024年，依申请公开办件2件，其中网上申请2件，占比100%，线下申请0件</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占比0%，2024年已办结2件，结转至2025年0件。</w:t>
      </w:r>
    </w:p>
    <w:tbl>
      <w:tblPr>
        <w:tblStyle w:val="7"/>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726"/>
        <w:gridCol w:w="888"/>
        <w:gridCol w:w="3162"/>
        <w:gridCol w:w="660"/>
        <w:gridCol w:w="660"/>
        <w:gridCol w:w="660"/>
        <w:gridCol w:w="660"/>
        <w:gridCol w:w="660"/>
        <w:gridCol w:w="666"/>
        <w:gridCol w:w="662"/>
      </w:tblGrid>
      <w:tr w14:paraId="3B2CC2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2889D0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0" w:type="pct"/>
            <w:gridSpan w:val="7"/>
            <w:tcBorders>
              <w:top w:val="single" w:color="auto" w:sz="8" w:space="0"/>
              <w:left w:val="nil"/>
              <w:bottom w:val="single" w:color="auto" w:sz="8" w:space="0"/>
              <w:right w:val="single" w:color="auto" w:sz="8" w:space="0"/>
            </w:tcBorders>
            <w:shd w:val="clear" w:color="auto" w:fill="auto"/>
            <w:vAlign w:val="center"/>
          </w:tcPr>
          <w:p w14:paraId="1B44A1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14:paraId="0994B1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54EA93E2">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333333"/>
                <w:sz w:val="21"/>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14:paraId="695957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14:paraId="285D8F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1" w:type="pct"/>
            <w:vMerge w:val="restart"/>
            <w:tcBorders>
              <w:top w:val="single" w:color="auto" w:sz="8" w:space="0"/>
              <w:left w:val="nil"/>
              <w:bottom w:val="outset" w:color="auto" w:sz="6" w:space="0"/>
              <w:right w:val="single" w:color="auto" w:sz="8" w:space="0"/>
            </w:tcBorders>
            <w:shd w:val="clear" w:color="auto" w:fill="auto"/>
            <w:vAlign w:val="center"/>
          </w:tcPr>
          <w:p w14:paraId="0AEE8B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14:paraId="0867EF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4AD0597F">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333333"/>
                <w:sz w:val="21"/>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14:paraId="2703F366">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333333"/>
                <w:sz w:val="21"/>
                <w:szCs w:val="21"/>
              </w:rPr>
            </w:pPr>
          </w:p>
        </w:tc>
        <w:tc>
          <w:tcPr>
            <w:tcW w:w="351" w:type="pct"/>
            <w:tcBorders>
              <w:top w:val="nil"/>
              <w:left w:val="nil"/>
              <w:bottom w:val="single" w:color="auto" w:sz="8" w:space="0"/>
              <w:right w:val="single" w:color="auto" w:sz="8" w:space="0"/>
            </w:tcBorders>
            <w:shd w:val="clear" w:color="auto" w:fill="auto"/>
            <w:vAlign w:val="center"/>
          </w:tcPr>
          <w:p w14:paraId="2F55D2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14:paraId="636CE3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51" w:type="pct"/>
            <w:tcBorders>
              <w:top w:val="nil"/>
              <w:left w:val="nil"/>
              <w:bottom w:val="single" w:color="auto" w:sz="8" w:space="0"/>
              <w:right w:val="single" w:color="auto" w:sz="8" w:space="0"/>
            </w:tcBorders>
            <w:shd w:val="clear" w:color="auto" w:fill="auto"/>
            <w:vAlign w:val="center"/>
          </w:tcPr>
          <w:p w14:paraId="3D52FD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14:paraId="58EB1B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14:paraId="200F1C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14:paraId="7AC58E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2" w:type="pct"/>
            <w:tcBorders>
              <w:top w:val="single" w:color="auto" w:sz="8" w:space="0"/>
              <w:left w:val="nil"/>
              <w:bottom w:val="single" w:color="auto" w:sz="8" w:space="0"/>
              <w:right w:val="single" w:color="auto" w:sz="8" w:space="0"/>
            </w:tcBorders>
            <w:shd w:val="clear" w:color="auto" w:fill="auto"/>
            <w:vAlign w:val="center"/>
          </w:tcPr>
          <w:p w14:paraId="3EB5F4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1" w:type="pct"/>
            <w:vMerge w:val="continue"/>
            <w:tcBorders>
              <w:top w:val="single" w:color="auto" w:sz="8" w:space="0"/>
              <w:left w:val="nil"/>
              <w:bottom w:val="outset" w:color="auto" w:sz="6" w:space="0"/>
              <w:right w:val="single" w:color="auto" w:sz="8" w:space="0"/>
            </w:tcBorders>
            <w:shd w:val="clear" w:color="auto" w:fill="auto"/>
            <w:vAlign w:val="center"/>
          </w:tcPr>
          <w:p w14:paraId="485B0491">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333333"/>
                <w:sz w:val="21"/>
                <w:szCs w:val="21"/>
              </w:rPr>
            </w:pPr>
          </w:p>
        </w:tc>
      </w:tr>
      <w:tr w14:paraId="54B7AF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14:paraId="5F5172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center"/>
          </w:tcPr>
          <w:p w14:paraId="284DB3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2</w:t>
            </w:r>
          </w:p>
        </w:tc>
        <w:tc>
          <w:tcPr>
            <w:tcW w:w="351" w:type="pct"/>
            <w:tcBorders>
              <w:top w:val="nil"/>
              <w:left w:val="nil"/>
              <w:bottom w:val="single" w:color="auto" w:sz="8" w:space="0"/>
              <w:right w:val="single" w:color="auto" w:sz="8" w:space="0"/>
            </w:tcBorders>
            <w:shd w:val="clear" w:color="auto" w:fill="auto"/>
            <w:vAlign w:val="center"/>
          </w:tcPr>
          <w:p w14:paraId="25B890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00F25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E9561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30C62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4F5F14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A9B89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2</w:t>
            </w:r>
          </w:p>
        </w:tc>
      </w:tr>
      <w:tr w14:paraId="407FDB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14:paraId="03950E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51" w:type="pct"/>
            <w:tcBorders>
              <w:top w:val="nil"/>
              <w:left w:val="nil"/>
              <w:bottom w:val="single" w:color="auto" w:sz="8" w:space="0"/>
              <w:right w:val="single" w:color="auto" w:sz="8" w:space="0"/>
            </w:tcBorders>
            <w:shd w:val="clear" w:color="auto" w:fill="auto"/>
            <w:vAlign w:val="center"/>
          </w:tcPr>
          <w:p w14:paraId="572524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19A56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9C0DE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DD81F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3E68E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278991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347A2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05FFA1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restart"/>
            <w:tcBorders>
              <w:top w:val="nil"/>
              <w:left w:val="single" w:color="auto" w:sz="8" w:space="0"/>
              <w:bottom w:val="outset" w:color="auto" w:sz="6" w:space="0"/>
              <w:right w:val="single" w:color="auto" w:sz="8" w:space="0"/>
            </w:tcBorders>
            <w:shd w:val="clear" w:color="auto" w:fill="auto"/>
            <w:vAlign w:val="center"/>
          </w:tcPr>
          <w:p w14:paraId="65170D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14:paraId="325342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51" w:type="pct"/>
            <w:tcBorders>
              <w:top w:val="nil"/>
              <w:left w:val="nil"/>
              <w:bottom w:val="single" w:color="auto" w:sz="8" w:space="0"/>
              <w:right w:val="single" w:color="auto" w:sz="8" w:space="0"/>
            </w:tcBorders>
            <w:shd w:val="clear" w:color="auto" w:fill="auto"/>
            <w:vAlign w:val="center"/>
          </w:tcPr>
          <w:p w14:paraId="610CE6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989F2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A93ED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A1757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43331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291314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336259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14:paraId="2CBF14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07132FB0">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14:paraId="02A591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51" w:type="pct"/>
            <w:tcBorders>
              <w:top w:val="nil"/>
              <w:left w:val="nil"/>
              <w:bottom w:val="single" w:color="auto" w:sz="8" w:space="0"/>
              <w:right w:val="single" w:color="auto" w:sz="8" w:space="0"/>
            </w:tcBorders>
            <w:shd w:val="clear" w:color="auto" w:fill="auto"/>
            <w:vAlign w:val="center"/>
          </w:tcPr>
          <w:p w14:paraId="7D4357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23581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B1869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9BA48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0FB57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4EB251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95D13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2B3399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43A89DCB">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14:paraId="5BA24E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79" w:type="pct"/>
            <w:tcBorders>
              <w:top w:val="nil"/>
              <w:left w:val="nil"/>
              <w:bottom w:val="single" w:color="auto" w:sz="8" w:space="0"/>
              <w:right w:val="single" w:color="auto" w:sz="8" w:space="0"/>
            </w:tcBorders>
            <w:shd w:val="clear" w:color="auto" w:fill="auto"/>
            <w:vAlign w:val="top"/>
          </w:tcPr>
          <w:p w14:paraId="15D240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51" w:type="pct"/>
            <w:tcBorders>
              <w:top w:val="nil"/>
              <w:left w:val="nil"/>
              <w:bottom w:val="single" w:color="auto" w:sz="8" w:space="0"/>
              <w:right w:val="single" w:color="auto" w:sz="8" w:space="0"/>
            </w:tcBorders>
            <w:shd w:val="clear" w:color="auto" w:fill="auto"/>
            <w:vAlign w:val="center"/>
          </w:tcPr>
          <w:p w14:paraId="01E31C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9AF25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C0810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91C6B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E7962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0770F3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42DBFE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17494F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5094E59F">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476EB944">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14:paraId="63DF2A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51" w:type="pct"/>
            <w:tcBorders>
              <w:top w:val="nil"/>
              <w:left w:val="nil"/>
              <w:bottom w:val="single" w:color="auto" w:sz="8" w:space="0"/>
              <w:right w:val="single" w:color="auto" w:sz="8" w:space="0"/>
            </w:tcBorders>
            <w:shd w:val="clear" w:color="auto" w:fill="auto"/>
            <w:vAlign w:val="center"/>
          </w:tcPr>
          <w:p w14:paraId="6E3AC6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0C8A0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FBFFA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60E4E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DB29C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278003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FCCC4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168EFD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40D83A6F">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7E8FB058">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14:paraId="3727C6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51" w:type="pct"/>
            <w:tcBorders>
              <w:top w:val="nil"/>
              <w:left w:val="nil"/>
              <w:bottom w:val="single" w:color="auto" w:sz="8" w:space="0"/>
              <w:right w:val="single" w:color="auto" w:sz="8" w:space="0"/>
            </w:tcBorders>
            <w:shd w:val="clear" w:color="auto" w:fill="auto"/>
            <w:vAlign w:val="center"/>
          </w:tcPr>
          <w:p w14:paraId="6FE09E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B9288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795B1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7B7CB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3FAB5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5FFBE7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D1311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1DDE71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51D2CDC4">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64DB618B">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14:paraId="2F17FB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51" w:type="pct"/>
            <w:tcBorders>
              <w:top w:val="nil"/>
              <w:left w:val="nil"/>
              <w:bottom w:val="single" w:color="auto" w:sz="8" w:space="0"/>
              <w:right w:val="single" w:color="auto" w:sz="8" w:space="0"/>
            </w:tcBorders>
            <w:shd w:val="clear" w:color="auto" w:fill="auto"/>
            <w:vAlign w:val="center"/>
          </w:tcPr>
          <w:p w14:paraId="768B98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w:t>
            </w:r>
          </w:p>
        </w:tc>
        <w:tc>
          <w:tcPr>
            <w:tcW w:w="351" w:type="pct"/>
            <w:tcBorders>
              <w:top w:val="nil"/>
              <w:left w:val="nil"/>
              <w:bottom w:val="single" w:color="auto" w:sz="8" w:space="0"/>
              <w:right w:val="single" w:color="auto" w:sz="8" w:space="0"/>
            </w:tcBorders>
            <w:shd w:val="clear" w:color="auto" w:fill="auto"/>
            <w:vAlign w:val="center"/>
          </w:tcPr>
          <w:p w14:paraId="139FAE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CD346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3FE6D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CBF81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35CC15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9EDE3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w:t>
            </w:r>
          </w:p>
        </w:tc>
      </w:tr>
      <w:tr w14:paraId="4A0F01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5D6A9C49">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3A675F49">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14:paraId="2B8EB6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51" w:type="pct"/>
            <w:tcBorders>
              <w:top w:val="nil"/>
              <w:left w:val="nil"/>
              <w:bottom w:val="single" w:color="auto" w:sz="8" w:space="0"/>
              <w:right w:val="single" w:color="auto" w:sz="8" w:space="0"/>
            </w:tcBorders>
            <w:shd w:val="clear" w:color="auto" w:fill="auto"/>
            <w:vAlign w:val="center"/>
          </w:tcPr>
          <w:p w14:paraId="6B409C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9BE4B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2BE02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C951A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EF6E1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01910E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74FD9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14:paraId="281EEE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51671E4C">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6ADC3B14">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14:paraId="6F5379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51" w:type="pct"/>
            <w:tcBorders>
              <w:top w:val="nil"/>
              <w:left w:val="nil"/>
              <w:bottom w:val="single" w:color="auto" w:sz="8" w:space="0"/>
              <w:right w:val="single" w:color="auto" w:sz="8" w:space="0"/>
            </w:tcBorders>
            <w:shd w:val="clear" w:color="auto" w:fill="auto"/>
            <w:vAlign w:val="center"/>
          </w:tcPr>
          <w:p w14:paraId="4C9473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77CC0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C0EE7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2C9E8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FE5BB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7B1C22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AADE4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2200ED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3223E782">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649DEA99">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14:paraId="671DCC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51" w:type="pct"/>
            <w:tcBorders>
              <w:top w:val="nil"/>
              <w:left w:val="nil"/>
              <w:bottom w:val="single" w:color="auto" w:sz="8" w:space="0"/>
              <w:right w:val="single" w:color="auto" w:sz="8" w:space="0"/>
            </w:tcBorders>
            <w:shd w:val="clear" w:color="auto" w:fill="auto"/>
            <w:vAlign w:val="center"/>
          </w:tcPr>
          <w:p w14:paraId="6730F8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0FB48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1A905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608E7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CF0EF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4FBF3C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E0FD2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6441B1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668F2444">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6615ADAD">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14:paraId="5D1952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51" w:type="pct"/>
            <w:tcBorders>
              <w:top w:val="nil"/>
              <w:left w:val="nil"/>
              <w:bottom w:val="single" w:color="auto" w:sz="8" w:space="0"/>
              <w:right w:val="single" w:color="auto" w:sz="8" w:space="0"/>
            </w:tcBorders>
            <w:shd w:val="clear" w:color="auto" w:fill="auto"/>
            <w:vAlign w:val="center"/>
          </w:tcPr>
          <w:p w14:paraId="4F4BF8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4FB4A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FCD89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759E6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AF732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1E34DD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2B0AA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0590B4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0095A5E8">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14:paraId="11B638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79" w:type="pct"/>
            <w:tcBorders>
              <w:top w:val="nil"/>
              <w:left w:val="nil"/>
              <w:bottom w:val="single" w:color="auto" w:sz="8" w:space="0"/>
              <w:right w:val="single" w:color="auto" w:sz="8" w:space="0"/>
            </w:tcBorders>
            <w:shd w:val="clear" w:color="auto" w:fill="auto"/>
            <w:vAlign w:val="top"/>
          </w:tcPr>
          <w:p w14:paraId="2CBC47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51" w:type="pct"/>
            <w:tcBorders>
              <w:top w:val="nil"/>
              <w:left w:val="nil"/>
              <w:bottom w:val="single" w:color="auto" w:sz="8" w:space="0"/>
              <w:right w:val="single" w:color="auto" w:sz="8" w:space="0"/>
            </w:tcBorders>
            <w:shd w:val="clear" w:color="auto" w:fill="auto"/>
            <w:vAlign w:val="center"/>
          </w:tcPr>
          <w:p w14:paraId="222893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1</w:t>
            </w:r>
          </w:p>
        </w:tc>
        <w:tc>
          <w:tcPr>
            <w:tcW w:w="351" w:type="pct"/>
            <w:tcBorders>
              <w:top w:val="nil"/>
              <w:left w:val="nil"/>
              <w:bottom w:val="single" w:color="auto" w:sz="8" w:space="0"/>
              <w:right w:val="single" w:color="auto" w:sz="8" w:space="0"/>
            </w:tcBorders>
            <w:shd w:val="clear" w:color="auto" w:fill="auto"/>
            <w:vAlign w:val="center"/>
          </w:tcPr>
          <w:p w14:paraId="24FAAE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2A206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8ABFC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9E975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5B6BE5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F3F2A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w:t>
            </w:r>
          </w:p>
        </w:tc>
      </w:tr>
      <w:tr w14:paraId="686D32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0429E01A">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75076EC2">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14:paraId="381427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51" w:type="pct"/>
            <w:tcBorders>
              <w:top w:val="nil"/>
              <w:left w:val="nil"/>
              <w:bottom w:val="single" w:color="auto" w:sz="8" w:space="0"/>
              <w:right w:val="single" w:color="auto" w:sz="8" w:space="0"/>
            </w:tcBorders>
            <w:shd w:val="clear" w:color="auto" w:fill="auto"/>
            <w:vAlign w:val="center"/>
          </w:tcPr>
          <w:p w14:paraId="453D80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B68E3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34144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493A8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9C5E8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5007B0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E0CF8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3CAED6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00E8163F">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44991270">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14:paraId="24C4A4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51" w:type="pct"/>
            <w:tcBorders>
              <w:top w:val="nil"/>
              <w:left w:val="nil"/>
              <w:bottom w:val="single" w:color="auto" w:sz="8" w:space="0"/>
              <w:right w:val="single" w:color="auto" w:sz="8" w:space="0"/>
            </w:tcBorders>
            <w:shd w:val="clear" w:color="auto" w:fill="auto"/>
            <w:vAlign w:val="center"/>
          </w:tcPr>
          <w:p w14:paraId="09E28A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27797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4B95A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040B3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D7363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74C7AA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62BC5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14:paraId="4D3599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590B8AF3">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14:paraId="519F4F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79" w:type="pct"/>
            <w:tcBorders>
              <w:top w:val="nil"/>
              <w:left w:val="nil"/>
              <w:bottom w:val="single" w:color="auto" w:sz="8" w:space="0"/>
              <w:right w:val="single" w:color="auto" w:sz="8" w:space="0"/>
            </w:tcBorders>
            <w:shd w:val="clear" w:color="auto" w:fill="auto"/>
            <w:vAlign w:val="top"/>
          </w:tcPr>
          <w:p w14:paraId="2C3A22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51" w:type="pct"/>
            <w:tcBorders>
              <w:top w:val="nil"/>
              <w:left w:val="nil"/>
              <w:bottom w:val="single" w:color="auto" w:sz="8" w:space="0"/>
              <w:right w:val="single" w:color="auto" w:sz="8" w:space="0"/>
            </w:tcBorders>
            <w:shd w:val="clear" w:color="auto" w:fill="auto"/>
            <w:vAlign w:val="center"/>
          </w:tcPr>
          <w:p w14:paraId="235637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47462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737DE2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E9DB6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0FE457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090284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DD530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769F32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5381FA16">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6C0A6145">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14:paraId="1153C0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51" w:type="pct"/>
            <w:tcBorders>
              <w:top w:val="single" w:color="auto" w:sz="8" w:space="0"/>
              <w:left w:val="nil"/>
              <w:bottom w:val="single" w:color="auto" w:sz="8" w:space="0"/>
              <w:right w:val="single" w:color="auto" w:sz="8" w:space="0"/>
            </w:tcBorders>
            <w:shd w:val="clear" w:color="auto" w:fill="auto"/>
            <w:vAlign w:val="center"/>
          </w:tcPr>
          <w:p w14:paraId="2048B9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06ABD4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4108BF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697ABB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4A1F4A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center"/>
          </w:tcPr>
          <w:p w14:paraId="284C33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7A8581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5F3DEF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44C794E7">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10805BF8">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14:paraId="73E542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vAlign w:val="center"/>
          </w:tcPr>
          <w:p w14:paraId="29BC65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022F24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59F0E7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141F59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118DDE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center"/>
          </w:tcPr>
          <w:p w14:paraId="1F4F6A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66083C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14:paraId="2D5095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3D171565">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4D02118C">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14:paraId="3E86DF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vAlign w:val="center"/>
          </w:tcPr>
          <w:p w14:paraId="5D7C15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2251E4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04A818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70641E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21E8AC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single" w:color="auto" w:sz="8" w:space="0"/>
              <w:left w:val="nil"/>
              <w:bottom w:val="single" w:color="auto" w:sz="8" w:space="0"/>
              <w:right w:val="single" w:color="auto" w:sz="8" w:space="0"/>
            </w:tcBorders>
            <w:shd w:val="clear" w:color="auto" w:fill="auto"/>
            <w:vAlign w:val="center"/>
          </w:tcPr>
          <w:p w14:paraId="6BF8DB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center"/>
          </w:tcPr>
          <w:p w14:paraId="27D833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14:paraId="48419C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1F0D8D23">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14:paraId="56FFE798">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nil"/>
              <w:bottom w:val="outset" w:color="auto" w:sz="6" w:space="0"/>
              <w:right w:val="single" w:color="auto" w:sz="8" w:space="0"/>
            </w:tcBorders>
            <w:shd w:val="clear" w:color="auto" w:fill="auto"/>
            <w:vAlign w:val="center"/>
          </w:tcPr>
          <w:p w14:paraId="3D294E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51" w:type="pct"/>
            <w:tcBorders>
              <w:top w:val="nil"/>
              <w:left w:val="nil"/>
              <w:bottom w:val="outset" w:color="auto" w:sz="6" w:space="0"/>
              <w:right w:val="single" w:color="auto" w:sz="8" w:space="0"/>
            </w:tcBorders>
            <w:shd w:val="clear" w:color="auto" w:fill="auto"/>
            <w:vAlign w:val="center"/>
          </w:tcPr>
          <w:p w14:paraId="4EABEF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14:paraId="3D7EE0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14:paraId="34A1C4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14:paraId="725559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14:paraId="546D01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outset" w:color="auto" w:sz="6" w:space="0"/>
              <w:right w:val="single" w:color="auto" w:sz="8" w:space="0"/>
            </w:tcBorders>
            <w:shd w:val="clear" w:color="auto" w:fill="auto"/>
            <w:vAlign w:val="center"/>
          </w:tcPr>
          <w:p w14:paraId="6747B7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center"/>
          </w:tcPr>
          <w:p w14:paraId="4937E8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14:paraId="7C1E56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24A4A351">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restart"/>
            <w:tcBorders>
              <w:top w:val="outset" w:color="auto" w:sz="6" w:space="0"/>
              <w:left w:val="nil"/>
              <w:bottom w:val="outset" w:color="auto" w:sz="6" w:space="0"/>
              <w:right w:val="single" w:color="auto" w:sz="8" w:space="0"/>
            </w:tcBorders>
            <w:shd w:val="clear" w:color="auto" w:fill="auto"/>
            <w:vAlign w:val="center"/>
          </w:tcPr>
          <w:p w14:paraId="0C0CCE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79" w:type="pct"/>
            <w:tcBorders>
              <w:top w:val="nil"/>
              <w:left w:val="nil"/>
              <w:bottom w:val="single" w:color="auto" w:sz="8" w:space="0"/>
              <w:right w:val="single" w:color="auto" w:sz="8" w:space="0"/>
            </w:tcBorders>
            <w:shd w:val="clear" w:color="auto" w:fill="auto"/>
            <w:vAlign w:val="center"/>
          </w:tcPr>
          <w:p w14:paraId="262EDF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14:paraId="593F7A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0BDDE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0F880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1769F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77DD0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4D3B73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4FF21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2C6FF8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29D94FB2">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14:paraId="150456DE">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14:paraId="0B4DBE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14:paraId="00DCBC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C7313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56B779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7CF4E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08DF3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406D8C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3CCCC5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14:paraId="0C9F00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14:paraId="464CEEA8">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14:paraId="7000AB62">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14:paraId="2C5283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51" w:type="pct"/>
            <w:tcBorders>
              <w:top w:val="nil"/>
              <w:left w:val="nil"/>
              <w:bottom w:val="single" w:color="auto" w:sz="8" w:space="0"/>
              <w:right w:val="single" w:color="auto" w:sz="8" w:space="0"/>
            </w:tcBorders>
            <w:shd w:val="clear" w:color="auto" w:fill="auto"/>
            <w:vAlign w:val="center"/>
          </w:tcPr>
          <w:p w14:paraId="3BD7EA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9F136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45B229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6B754D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1E1C6E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shd w:val="clear" w:color="auto" w:fill="auto"/>
            <w:vAlign w:val="center"/>
          </w:tcPr>
          <w:p w14:paraId="3B0CF6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14:paraId="27DAC1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14:paraId="31CE76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single" w:color="auto" w:sz="4" w:space="0"/>
              <w:right w:val="single" w:color="auto" w:sz="8" w:space="0"/>
            </w:tcBorders>
            <w:shd w:val="clear" w:color="auto" w:fill="auto"/>
            <w:vAlign w:val="center"/>
          </w:tcPr>
          <w:p w14:paraId="5A24B598">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4" w:space="0"/>
              <w:right w:val="single" w:color="auto" w:sz="8" w:space="0"/>
            </w:tcBorders>
            <w:shd w:val="clear" w:color="auto" w:fill="auto"/>
            <w:vAlign w:val="center"/>
          </w:tcPr>
          <w:p w14:paraId="53937D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51" w:type="pct"/>
            <w:tcBorders>
              <w:top w:val="nil"/>
              <w:left w:val="nil"/>
              <w:bottom w:val="single" w:color="auto" w:sz="4" w:space="0"/>
              <w:right w:val="single" w:color="auto" w:sz="8" w:space="0"/>
            </w:tcBorders>
            <w:shd w:val="clear" w:color="auto" w:fill="auto"/>
            <w:vAlign w:val="center"/>
          </w:tcPr>
          <w:p w14:paraId="44EAD9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2</w:t>
            </w:r>
          </w:p>
        </w:tc>
        <w:tc>
          <w:tcPr>
            <w:tcW w:w="351" w:type="pct"/>
            <w:tcBorders>
              <w:top w:val="nil"/>
              <w:left w:val="nil"/>
              <w:bottom w:val="single" w:color="auto" w:sz="4" w:space="0"/>
              <w:right w:val="single" w:color="auto" w:sz="8" w:space="0"/>
            </w:tcBorders>
            <w:shd w:val="clear" w:color="auto" w:fill="auto"/>
            <w:vAlign w:val="center"/>
          </w:tcPr>
          <w:p w14:paraId="0522A4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4" w:space="0"/>
              <w:right w:val="single" w:color="auto" w:sz="8" w:space="0"/>
            </w:tcBorders>
            <w:shd w:val="clear" w:color="auto" w:fill="auto"/>
            <w:vAlign w:val="center"/>
          </w:tcPr>
          <w:p w14:paraId="243E11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4" w:space="0"/>
              <w:right w:val="single" w:color="auto" w:sz="8" w:space="0"/>
            </w:tcBorders>
            <w:shd w:val="clear" w:color="auto" w:fill="auto"/>
            <w:vAlign w:val="center"/>
          </w:tcPr>
          <w:p w14:paraId="043666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4" w:space="0"/>
              <w:right w:val="single" w:color="auto" w:sz="8" w:space="0"/>
            </w:tcBorders>
            <w:shd w:val="clear" w:color="auto" w:fill="auto"/>
            <w:vAlign w:val="center"/>
          </w:tcPr>
          <w:p w14:paraId="3B52F4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nil"/>
              <w:left w:val="nil"/>
              <w:bottom w:val="single" w:color="auto" w:sz="4" w:space="0"/>
              <w:right w:val="single" w:color="auto" w:sz="8" w:space="0"/>
            </w:tcBorders>
            <w:shd w:val="clear" w:color="auto" w:fill="auto"/>
            <w:vAlign w:val="center"/>
          </w:tcPr>
          <w:p w14:paraId="08897B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4" w:space="0"/>
              <w:right w:val="single" w:color="auto" w:sz="8" w:space="0"/>
            </w:tcBorders>
            <w:shd w:val="clear" w:color="auto" w:fill="auto"/>
            <w:vAlign w:val="center"/>
          </w:tcPr>
          <w:p w14:paraId="088567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2</w:t>
            </w:r>
          </w:p>
        </w:tc>
      </w:tr>
      <w:tr w14:paraId="5D11C2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single" w:color="auto" w:sz="4" w:space="0"/>
              <w:left w:val="single" w:color="auto" w:sz="4" w:space="0"/>
              <w:bottom w:val="single" w:color="auto" w:sz="4" w:space="0"/>
              <w:right w:val="single" w:color="auto" w:sz="8" w:space="0"/>
            </w:tcBorders>
            <w:shd w:val="clear" w:color="auto" w:fill="auto"/>
            <w:vAlign w:val="center"/>
          </w:tcPr>
          <w:p w14:paraId="18EF77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51" w:type="pct"/>
            <w:tcBorders>
              <w:top w:val="single" w:color="auto" w:sz="4" w:space="0"/>
              <w:left w:val="nil"/>
              <w:bottom w:val="single" w:color="auto" w:sz="4" w:space="0"/>
              <w:right w:val="single" w:color="auto" w:sz="8" w:space="0"/>
            </w:tcBorders>
            <w:shd w:val="clear" w:color="auto" w:fill="auto"/>
            <w:vAlign w:val="center"/>
          </w:tcPr>
          <w:p w14:paraId="68422B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nil"/>
              <w:bottom w:val="single" w:color="auto" w:sz="4" w:space="0"/>
              <w:right w:val="single" w:color="auto" w:sz="8" w:space="0"/>
            </w:tcBorders>
            <w:shd w:val="clear" w:color="auto" w:fill="auto"/>
            <w:vAlign w:val="center"/>
          </w:tcPr>
          <w:p w14:paraId="144B73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nil"/>
              <w:bottom w:val="single" w:color="auto" w:sz="4" w:space="0"/>
              <w:right w:val="single" w:color="auto" w:sz="8" w:space="0"/>
            </w:tcBorders>
            <w:shd w:val="clear" w:color="auto" w:fill="auto"/>
            <w:vAlign w:val="center"/>
          </w:tcPr>
          <w:p w14:paraId="2E416F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nil"/>
              <w:bottom w:val="single" w:color="auto" w:sz="4" w:space="0"/>
              <w:right w:val="single" w:color="auto" w:sz="8" w:space="0"/>
            </w:tcBorders>
            <w:shd w:val="clear" w:color="auto" w:fill="auto"/>
            <w:vAlign w:val="center"/>
          </w:tcPr>
          <w:p w14:paraId="167120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nil"/>
              <w:bottom w:val="single" w:color="auto" w:sz="4" w:space="0"/>
              <w:right w:val="single" w:color="auto" w:sz="8" w:space="0"/>
            </w:tcBorders>
            <w:shd w:val="clear" w:color="auto" w:fill="auto"/>
            <w:vAlign w:val="center"/>
          </w:tcPr>
          <w:p w14:paraId="115343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2" w:type="pct"/>
            <w:tcBorders>
              <w:top w:val="single" w:color="auto" w:sz="4" w:space="0"/>
              <w:left w:val="nil"/>
              <w:bottom w:val="single" w:color="auto" w:sz="4" w:space="0"/>
              <w:right w:val="single" w:color="auto" w:sz="8" w:space="0"/>
            </w:tcBorders>
            <w:shd w:val="clear" w:color="auto" w:fill="auto"/>
            <w:vAlign w:val="center"/>
          </w:tcPr>
          <w:p w14:paraId="0CE59B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single" w:color="auto" w:sz="4" w:space="0"/>
              <w:left w:val="nil"/>
              <w:bottom w:val="single" w:color="auto" w:sz="4" w:space="0"/>
              <w:right w:val="single" w:color="auto" w:sz="4" w:space="0"/>
            </w:tcBorders>
            <w:shd w:val="clear" w:color="auto" w:fill="auto"/>
            <w:vAlign w:val="center"/>
          </w:tcPr>
          <w:p w14:paraId="583260C6">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14:paraId="00D0DC00">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p w14:paraId="732F9CB6">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2024年，收到行政复议申请1件，申请人自愿撤回行政复议申请并终止行政复议1件。</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27"/>
        <w:gridCol w:w="627"/>
        <w:gridCol w:w="628"/>
        <w:gridCol w:w="628"/>
        <w:gridCol w:w="637"/>
        <w:gridCol w:w="628"/>
        <w:gridCol w:w="628"/>
        <w:gridCol w:w="630"/>
        <w:gridCol w:w="630"/>
        <w:gridCol w:w="636"/>
        <w:gridCol w:w="630"/>
        <w:gridCol w:w="630"/>
        <w:gridCol w:w="630"/>
        <w:gridCol w:w="630"/>
        <w:gridCol w:w="636"/>
      </w:tblGrid>
      <w:tr w14:paraId="018F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65FBB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46DB8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14:paraId="454A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14:paraId="2AEEE9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14:paraId="7805D8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14:paraId="0D96D7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1DAF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14:paraId="06CED3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E6A3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14:paraId="550171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BDC3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63505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E9ABC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14:paraId="4EFA4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14:paraId="05AF1B57">
            <w:pPr>
              <w:jc w:val="left"/>
              <w:rPr>
                <w:rFonts w:hint="eastAsia" w:ascii="宋体" w:hAnsi="宋体" w:eastAsia="宋体" w:cs="宋体"/>
                <w:color w:val="333333"/>
                <w:sz w:val="21"/>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14:paraId="5DB834CD">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382D4B">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EC2314">
            <w:pPr>
              <w:jc w:val="left"/>
              <w:rPr>
                <w:rFonts w:hint="eastAsia" w:ascii="宋体" w:hAnsi="宋体" w:eastAsia="宋体" w:cs="宋体"/>
                <w:color w:val="333333"/>
                <w:sz w:val="21"/>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01DF8C">
            <w:pPr>
              <w:jc w:val="left"/>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3797F0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14:paraId="5F6725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5B50A4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14:paraId="7B02F7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17F641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14:paraId="5844A2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1DC160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14:paraId="600775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1DFFFA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3258AF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14:paraId="0931D4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5AAB48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14:paraId="40F8F9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698F38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14:paraId="1303E6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478373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14:paraId="682086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593384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14:paraId="62AE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44B9B5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6EEC88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39206B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1</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12A9BB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D8C77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1</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5F70C6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18E795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0D5AD0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6BA08C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5134D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01BF09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1365A4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68A4A2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631F12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01C00A98">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14:paraId="64135F07">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五、存在的主要问题及改进情况</w:t>
      </w:r>
    </w:p>
    <w:p w14:paraId="35C93D07">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上年度存在的问题主要为部分局属学校信息公开内容存在错别字等，2024年，该问题已基本整改完成。</w:t>
      </w:r>
    </w:p>
    <w:p w14:paraId="7D9EF018">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本年度存在的问题主要为各学校决算公开中存在表述不规范，下年度将根据谁起草</w:t>
      </w:r>
      <w:r>
        <w:rPr>
          <w:rFonts w:hint="default" w:ascii="仿宋" w:hAnsi="仿宋" w:eastAsia="仿宋" w:cs="仿宋"/>
          <w:sz w:val="32"/>
          <w:szCs w:val="32"/>
          <w:lang w:val="en-US" w:eastAsia="zh-CN"/>
        </w:rPr>
        <w:t>、谁负责,谁审核、谁负责的原则</w:t>
      </w:r>
      <w:r>
        <w:rPr>
          <w:rFonts w:hint="eastAsia" w:ascii="仿宋" w:hAnsi="仿宋" w:eastAsia="仿宋" w:cs="仿宋"/>
          <w:sz w:val="32"/>
          <w:szCs w:val="32"/>
          <w:lang w:val="en-US" w:eastAsia="zh-CN"/>
        </w:rPr>
        <w:t>，要求局属各单位加强文件内容审查。</w:t>
      </w:r>
    </w:p>
    <w:p w14:paraId="09CD824E">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六、其他需要报告的事项</w:t>
      </w:r>
    </w:p>
    <w:p w14:paraId="5720827F">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政府信息处理费收取费用金额0元。</w:t>
      </w:r>
    </w:p>
    <w:p w14:paraId="03187B8C">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议案提案跟踪督办情况。落实市区委、区政府主要领导批示指示件督办，市区政府工作报告每季度报表督办、市政府督查室转办涉及我区重点事项，重大项目推进会、重点工作推进会等督办工作。围绕师生身心健康、教育发展规划、校园食品安全、家校社协同育人等方面，今年区教育局共承担各级主办议提案33件，协办议提案23件，参与协办建议案1件、重点提案1件。各承办科室（部门）高度重视，关切民生事业，认真做好办理工作，实现走访率100%、回复率100%、满意率100%，受到区四大家领导高度好评。</w:t>
      </w:r>
    </w:p>
    <w:p w14:paraId="0E4E357C">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教育重点领域信息公开情况。对家长和社会高度关注的幼儿园和中小学招生信息，为确保工作顺利开展，我局多渠道公开，确保宣传到位。一是间在政府网站上发布相关信息。二是在教育局一楼设置了招生政策咨询室，工作日和周末均安排工作人员值班，接受群众现场咨询和电话咨询。三是在全区各小学门口张贴了招生政策文件，方便大家查询。</w:t>
      </w:r>
    </w:p>
    <w:p w14:paraId="5397C535">
      <w:pPr>
        <w:keepNext w:val="0"/>
        <w:keepLines w:val="0"/>
        <w:pageBreakBefore w:val="0"/>
        <w:kinsoku/>
        <w:overflowPunct/>
        <w:topLinePunct w:val="0"/>
        <w:autoSpaceDE/>
        <w:autoSpaceDN/>
        <w:bidi w:val="0"/>
        <w:adjustRightInd/>
        <w:snapToGrid w:val="0"/>
        <w:spacing w:line="560" w:lineRule="exact"/>
        <w:ind w:left="0" w:leftChars="0" w:right="0" w:rightChars="0"/>
        <w:textAlignment w:val="auto"/>
        <w:rPr>
          <w:rFonts w:eastAsia="仿宋" w:cs="仿宋"/>
          <w:color w:val="auto"/>
          <w:sz w:val="32"/>
          <w:szCs w:val="32"/>
        </w:rPr>
      </w:pPr>
    </w:p>
    <w:p w14:paraId="7E73CC9E">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4800" w:firstLineChars="1500"/>
        <w:jc w:val="both"/>
        <w:textAlignment w:val="auto"/>
        <w:rPr>
          <w:rFonts w:hint="eastAsia" w:ascii="仿宋" w:hAnsi="仿宋" w:eastAsia="仿宋" w:cs="仿宋"/>
          <w:sz w:val="32"/>
          <w:szCs w:val="32"/>
          <w:lang w:val="en-US" w:eastAsia="zh-CN"/>
        </w:rPr>
      </w:pPr>
    </w:p>
    <w:p w14:paraId="6F47C84B">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4800" w:firstLineChars="15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武汉市硚口区教育局</w:t>
      </w:r>
    </w:p>
    <w:p w14:paraId="0FD5528B">
      <w:pPr>
        <w:keepNext w:val="0"/>
        <w:keepLines w:val="0"/>
        <w:pageBreakBefore w:val="0"/>
        <w:kinsoku/>
        <w:overflowPunct/>
        <w:topLinePunct w:val="0"/>
        <w:autoSpaceDE/>
        <w:autoSpaceDN/>
        <w:bidi w:val="0"/>
        <w:adjustRightInd/>
        <w:snapToGrid w:val="0"/>
        <w:spacing w:line="560" w:lineRule="exact"/>
        <w:ind w:left="0" w:leftChars="0" w:right="0" w:rightChars="0"/>
        <w:textAlignment w:val="auto"/>
        <w:rPr>
          <w:rFonts w:eastAsia="仿宋" w:cs="仿宋"/>
          <w:color w:val="auto"/>
          <w:sz w:val="32"/>
          <w:szCs w:val="32"/>
        </w:rPr>
      </w:pPr>
      <w:r>
        <w:rPr>
          <w:rFonts w:hint="eastAsia" w:ascii="仿宋" w:hAnsi="仿宋" w:eastAsia="仿宋" w:cs="仿宋"/>
          <w:sz w:val="32"/>
          <w:szCs w:val="32"/>
          <w:lang w:val="en-US" w:eastAsia="zh-CN"/>
        </w:rPr>
        <w:t xml:space="preserve">                               2025年1月10日</w:t>
      </w:r>
    </w:p>
    <w:p w14:paraId="143751ED">
      <w:pPr>
        <w:wordWrap w:val="0"/>
        <w:jc w:val="right"/>
        <w:rPr>
          <w:rFonts w:hint="eastAsia" w:ascii="仿宋" w:hAnsi="仿宋" w:eastAsia="仿宋" w:cs="仿宋"/>
          <w:sz w:val="32"/>
          <w:szCs w:val="32"/>
          <w:lang w:val="en-US" w:eastAsia="zh-CN"/>
        </w:rPr>
      </w:pPr>
    </w:p>
    <w:sectPr>
      <w:footerReference r:id="rId3" w:type="default"/>
      <w:pgSz w:w="11906" w:h="16838"/>
      <w:pgMar w:top="1304" w:right="1191" w:bottom="1304"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75BEC1-A073-4B19-BDEF-340E46E4327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B9F1D666-0B6C-447E-9DE6-0950AB0BE6FA}"/>
  </w:font>
  <w:font w:name="仿宋">
    <w:panose1 w:val="02010609060101010101"/>
    <w:charset w:val="86"/>
    <w:family w:val="auto"/>
    <w:pitch w:val="default"/>
    <w:sig w:usb0="800002BF" w:usb1="38CF7CFA" w:usb2="00000016" w:usb3="00000000" w:csb0="00040001" w:csb1="00000000"/>
    <w:embedRegular r:id="rId3" w:fontKey="{B6417150-C345-425A-9B34-C56F0D12E8AD}"/>
  </w:font>
  <w:font w:name="楷体">
    <w:panose1 w:val="02010609060101010101"/>
    <w:charset w:val="86"/>
    <w:family w:val="auto"/>
    <w:pitch w:val="default"/>
    <w:sig w:usb0="800002BF" w:usb1="38CF7CFA" w:usb2="00000016" w:usb3="00000000" w:csb0="00040001" w:csb1="00000000"/>
    <w:embedRegular r:id="rId4" w:fontKey="{337F2C68-4529-4508-91FA-5B9D23E11F79}"/>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2D27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3EF5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C3EF5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wYzE1YzlmZTYwZGZjMDcwYjU3YzNhMzA2MDczNzIifQ=="/>
    <w:docVar w:name="KSO_WPS_MARK_KEY" w:val="0cfed379-9b69-46ee-98fd-01c5e8eed93a"/>
  </w:docVars>
  <w:rsids>
    <w:rsidRoot w:val="238B1E27"/>
    <w:rsid w:val="05E240C7"/>
    <w:rsid w:val="079C3C62"/>
    <w:rsid w:val="0AAA5FFB"/>
    <w:rsid w:val="14DE6AC1"/>
    <w:rsid w:val="16BC4251"/>
    <w:rsid w:val="190C021B"/>
    <w:rsid w:val="1EDF0672"/>
    <w:rsid w:val="1F313635"/>
    <w:rsid w:val="21BE719F"/>
    <w:rsid w:val="238B1E27"/>
    <w:rsid w:val="246E2621"/>
    <w:rsid w:val="279D1800"/>
    <w:rsid w:val="2CC03894"/>
    <w:rsid w:val="2E8078E0"/>
    <w:rsid w:val="2F133A79"/>
    <w:rsid w:val="31BD1113"/>
    <w:rsid w:val="380214FF"/>
    <w:rsid w:val="397119C0"/>
    <w:rsid w:val="3A994B2A"/>
    <w:rsid w:val="3D505065"/>
    <w:rsid w:val="3E7F4F05"/>
    <w:rsid w:val="3FCA1498"/>
    <w:rsid w:val="49976D62"/>
    <w:rsid w:val="4CE34EC4"/>
    <w:rsid w:val="553E3BB6"/>
    <w:rsid w:val="59652951"/>
    <w:rsid w:val="5FF0D4BB"/>
    <w:rsid w:val="61C420FA"/>
    <w:rsid w:val="639010AC"/>
    <w:rsid w:val="6697F0FD"/>
    <w:rsid w:val="6BA72131"/>
    <w:rsid w:val="6EC526E7"/>
    <w:rsid w:val="75D31F65"/>
    <w:rsid w:val="768A2321"/>
    <w:rsid w:val="780A5FDD"/>
    <w:rsid w:val="789C20F6"/>
    <w:rsid w:val="79C773E8"/>
    <w:rsid w:val="79FB1236"/>
    <w:rsid w:val="7B0B76A0"/>
    <w:rsid w:val="7CF91123"/>
    <w:rsid w:val="7FD7006C"/>
    <w:rsid w:val="DF7FB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2667</Words>
  <Characters>2787</Characters>
  <Lines>0</Lines>
  <Paragraphs>0</Paragraphs>
  <TotalTime>16</TotalTime>
  <ScaleCrop>false</ScaleCrop>
  <LinksUpToDate>false</LinksUpToDate>
  <CharactersWithSpaces>2819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2021-12-22T23:19:00Z</dcterms:created>
  <dc:creator>WPS_1624785580</dc:creator>
  <cp:lastModifiedBy>何树刚</cp:lastModifiedBy>
  <dcterms:modified xsi:type="dcterms:W3CDTF">2025-01-17T06:52:57Z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777F53E91E564B3B96F5A1A435D08748</vt:lpwstr>
  </property>
  <property fmtid="{D5CDD505-2E9C-101B-9397-08002B2CF9AE}" pid="4" name="KSOTemplateDocerSaveRecord">
    <vt:lpwstr>eyJoZGlkIjoiMjA4MDhjMjg3NDc5YzY4YzdkMjI1MWJjMWM4ODhhNTkiLCJ1c2VySWQiOiI0NTk1MjI3NDIifQ==</vt:lpwstr>
  </property>
</Properties>
</file>