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default" w:ascii="Times New Roman" w:hAnsi="Times New Roman" w:cs="Times New Roman" w:eastAsiaTheme="majorEastAsia"/>
          <w:b/>
          <w:bCs/>
          <w:i w:val="0"/>
          <w:caps w:val="0"/>
          <w:color w:val="auto"/>
          <w:spacing w:val="0"/>
          <w:sz w:val="44"/>
          <w:szCs w:val="44"/>
          <w:shd w:val="clear" w:color="auto" w:fill="FFFFFF"/>
          <w:lang w:val="en-US" w:eastAsia="zh-CN"/>
        </w:rPr>
      </w:pPr>
      <w:r>
        <w:rPr>
          <w:rFonts w:hint="default" w:ascii="Times New Roman" w:hAnsi="Times New Roman" w:cs="Times New Roman" w:eastAsiaTheme="majorEastAsia"/>
          <w:b/>
          <w:bCs/>
          <w:i w:val="0"/>
          <w:caps w:val="0"/>
          <w:color w:val="auto"/>
          <w:spacing w:val="0"/>
          <w:sz w:val="44"/>
          <w:szCs w:val="44"/>
          <w:shd w:val="clear" w:color="auto" w:fill="FFFFFF"/>
          <w:lang w:eastAsia="zh-CN"/>
        </w:rPr>
        <w:t>硚口区城区改造更新局</w:t>
      </w:r>
      <w:r>
        <w:rPr>
          <w:rFonts w:hint="default" w:ascii="Times New Roman" w:hAnsi="Times New Roman" w:cs="Times New Roman" w:eastAsiaTheme="majorEastAsia"/>
          <w:b/>
          <w:bCs/>
          <w:i w:val="0"/>
          <w:caps w:val="0"/>
          <w:color w:val="auto"/>
          <w:spacing w:val="0"/>
          <w:sz w:val="44"/>
          <w:szCs w:val="44"/>
          <w:shd w:val="clear" w:color="auto" w:fill="FFFFFF"/>
          <w:lang w:val="en-US" w:eastAsia="zh-CN"/>
        </w:rPr>
        <w:t>2023年</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default" w:ascii="Times New Roman" w:hAnsi="Times New Roman" w:cs="Times New Roman" w:eastAsiaTheme="majorEastAsia"/>
          <w:b/>
          <w:bCs/>
          <w:i w:val="0"/>
          <w:caps w:val="0"/>
          <w:color w:val="auto"/>
          <w:spacing w:val="0"/>
          <w:sz w:val="44"/>
          <w:szCs w:val="44"/>
          <w:shd w:val="clear" w:color="auto" w:fill="FFFFFF"/>
          <w:lang w:val="en-US" w:eastAsia="zh-CN"/>
        </w:rPr>
      </w:pPr>
      <w:r>
        <w:rPr>
          <w:rFonts w:hint="default" w:ascii="Times New Roman" w:hAnsi="Times New Roman" w:cs="Times New Roman" w:eastAsiaTheme="majorEastAsia"/>
          <w:b/>
          <w:bCs/>
          <w:i w:val="0"/>
          <w:caps w:val="0"/>
          <w:color w:val="auto"/>
          <w:spacing w:val="0"/>
          <w:sz w:val="44"/>
          <w:szCs w:val="44"/>
          <w:shd w:val="clear" w:color="auto" w:fill="FFFFFF"/>
          <w:lang w:val="en-US" w:eastAsia="zh-CN"/>
        </w:rPr>
        <w:t>政府信息公开工作年度报告</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highlight w:val="yellow"/>
          <w:lang w:val="en-US" w:eastAsia="zh-CN"/>
        </w:rPr>
      </w:pP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highlight w:val="none"/>
          <w:lang w:val="en-US" w:eastAsia="zh-CN" w:bidi="ar"/>
        </w:rPr>
      </w:pPr>
      <w:r>
        <w:rPr>
          <w:rFonts w:hint="default" w:ascii="Times New Roman" w:hAnsi="Times New Roman" w:eastAsia="仿宋" w:cs="Times New Roman"/>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w:t>
      </w:r>
      <w:r>
        <w:rPr>
          <w:rFonts w:hint="default" w:ascii="Times New Roman" w:hAnsi="Times New Roman" w:eastAsia="仿宋" w:cs="Times New Roman"/>
          <w:b w:val="0"/>
          <w:bCs w:val="0"/>
          <w:color w:val="auto"/>
          <w:spacing w:val="-12"/>
          <w:kern w:val="0"/>
          <w:sz w:val="32"/>
          <w:szCs w:val="32"/>
          <w:highlight w:val="none"/>
          <w:lang w:val="en-US" w:eastAsia="zh-CN" w:bidi="ar"/>
        </w:rPr>
        <w:t>2023年1月1日至2023年12月31日，</w:t>
      </w:r>
      <w:r>
        <w:rPr>
          <w:rFonts w:hint="default" w:ascii="Times New Roman" w:hAnsi="Times New Roman" w:eastAsia="仿宋" w:cs="Times New Roman"/>
          <w:b w:val="0"/>
          <w:bCs w:val="0"/>
          <w:color w:val="auto"/>
          <w:kern w:val="0"/>
          <w:sz w:val="32"/>
          <w:szCs w:val="32"/>
          <w:highlight w:val="none"/>
          <w:lang w:val="en-US" w:eastAsia="zh-CN" w:bidi="ar"/>
        </w:rPr>
        <w:t>如本报告有疑问，请联系：硚口区城区改造更新局党政办，地址：硚口区沿河大道518号，电话：027-83426515。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sz w:val="32"/>
          <w:szCs w:val="32"/>
          <w:shd w:val="clear" w:color="auto" w:fill="FFFFFF"/>
          <w:lang w:eastAsia="zh-CN"/>
        </w:rPr>
      </w:pPr>
      <w:r>
        <w:rPr>
          <w:rFonts w:hint="default" w:ascii="Times New Roman" w:hAnsi="Times New Roman" w:eastAsia="黑体" w:cs="Times New Roman"/>
          <w:b w:val="0"/>
          <w:bCs w:val="0"/>
          <w:i w:val="0"/>
          <w:caps w:val="0"/>
          <w:color w:val="auto"/>
          <w:spacing w:val="0"/>
          <w:sz w:val="32"/>
          <w:szCs w:val="32"/>
          <w:shd w:val="clear" w:color="auto" w:fill="FFFFFF"/>
          <w:lang w:eastAsia="zh-CN"/>
        </w:rPr>
        <w:t>总体情况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0"/>
          <w:sz w:val="32"/>
          <w:szCs w:val="32"/>
          <w:highlight w:val="none"/>
          <w:lang w:val="en-US" w:eastAsia="zh-CN" w:bidi="ar"/>
        </w:rPr>
      </w:pPr>
      <w:r>
        <w:rPr>
          <w:rFonts w:hint="default" w:ascii="Times New Roman" w:hAnsi="Times New Roman" w:eastAsia="仿宋" w:cs="Times New Roman"/>
          <w:b w:val="0"/>
          <w:bCs w:val="0"/>
          <w:color w:val="auto"/>
          <w:kern w:val="0"/>
          <w:sz w:val="32"/>
          <w:szCs w:val="32"/>
          <w:highlight w:val="none"/>
          <w:lang w:val="en-US" w:eastAsia="zh-CN" w:bidi="ar"/>
        </w:rPr>
        <w:t>2023年，在区委、区政府的正确领导下，我局坚持以习近平新时代中国特色社会主义思想为指导，全面贯彻党的二十大精神，认真贯彻落实《中华人民共和国政府信息公开条例》和省、市、区工作部署要求。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楷体" w:cs="Times New Roman"/>
          <w:i w:val="0"/>
          <w:caps w:val="0"/>
          <w:color w:val="auto"/>
          <w:spacing w:val="0"/>
          <w:sz w:val="32"/>
          <w:szCs w:val="32"/>
          <w:shd w:val="clear" w:color="auto" w:fill="FFFFFF"/>
          <w:lang w:val="en-US" w:eastAsia="zh-CN"/>
        </w:rPr>
        <w:t>（一）政府信息主动公开情况。</w:t>
      </w:r>
      <w:r>
        <w:rPr>
          <w:rFonts w:hint="default" w:ascii="Times New Roman" w:hAnsi="Times New Roman" w:eastAsia="仿宋" w:cs="Times New Roman"/>
          <w:i w:val="0"/>
          <w:caps w:val="0"/>
          <w:color w:val="auto"/>
          <w:spacing w:val="0"/>
          <w:sz w:val="32"/>
          <w:szCs w:val="32"/>
          <w:shd w:val="clear" w:color="auto" w:fill="FFFFFF"/>
        </w:rPr>
        <w:t>坚持将</w:t>
      </w:r>
      <w:r>
        <w:rPr>
          <w:rFonts w:hint="default" w:ascii="Times New Roman" w:hAnsi="Times New Roman" w:eastAsia="仿宋" w:cs="Times New Roman"/>
          <w:i w:val="0"/>
          <w:caps w:val="0"/>
          <w:color w:val="auto"/>
          <w:spacing w:val="0"/>
          <w:sz w:val="32"/>
          <w:szCs w:val="32"/>
          <w:shd w:val="clear" w:color="auto" w:fill="FFFFFF"/>
          <w:lang w:eastAsia="zh-CN"/>
        </w:rPr>
        <w:t>政府</w:t>
      </w:r>
      <w:r>
        <w:rPr>
          <w:rFonts w:hint="default" w:ascii="Times New Roman" w:hAnsi="Times New Roman" w:eastAsia="仿宋" w:cs="Times New Roman"/>
          <w:i w:val="0"/>
          <w:caps w:val="0"/>
          <w:color w:val="auto"/>
          <w:spacing w:val="0"/>
          <w:sz w:val="32"/>
          <w:szCs w:val="32"/>
          <w:shd w:val="clear" w:color="auto" w:fill="FFFFFF"/>
        </w:rPr>
        <w:t>信息</w:t>
      </w:r>
      <w:r>
        <w:rPr>
          <w:rFonts w:hint="default" w:ascii="Times New Roman" w:hAnsi="Times New Roman" w:eastAsia="仿宋" w:cs="Times New Roman"/>
          <w:i w:val="0"/>
          <w:caps w:val="0"/>
          <w:color w:val="auto"/>
          <w:spacing w:val="0"/>
          <w:sz w:val="32"/>
          <w:szCs w:val="32"/>
          <w:shd w:val="clear" w:color="auto" w:fill="FFFFFF"/>
          <w:lang w:eastAsia="zh-CN"/>
        </w:rPr>
        <w:t>公开</w:t>
      </w:r>
      <w:r>
        <w:rPr>
          <w:rFonts w:hint="default" w:ascii="Times New Roman" w:hAnsi="Times New Roman" w:eastAsia="仿宋" w:cs="Times New Roman"/>
          <w:i w:val="0"/>
          <w:caps w:val="0"/>
          <w:color w:val="auto"/>
          <w:spacing w:val="0"/>
          <w:sz w:val="32"/>
          <w:szCs w:val="32"/>
          <w:shd w:val="clear" w:color="auto" w:fill="FFFFFF"/>
        </w:rPr>
        <w:t>工作作为</w:t>
      </w:r>
      <w:r>
        <w:rPr>
          <w:rFonts w:hint="default" w:ascii="Times New Roman" w:hAnsi="Times New Roman" w:eastAsia="仿宋" w:cs="Times New Roman"/>
          <w:i w:val="0"/>
          <w:caps w:val="0"/>
          <w:color w:val="auto"/>
          <w:spacing w:val="0"/>
          <w:sz w:val="32"/>
          <w:szCs w:val="32"/>
          <w:shd w:val="clear" w:color="auto" w:fill="FFFFFF"/>
          <w:lang w:eastAsia="zh-CN"/>
        </w:rPr>
        <w:t>本单位重要议事日程</w:t>
      </w:r>
      <w:r>
        <w:rPr>
          <w:rFonts w:hint="default" w:ascii="Times New Roman" w:hAnsi="Times New Roman" w:eastAsia="仿宋" w:cs="Times New Roman"/>
          <w:i w:val="0"/>
          <w:caps w:val="0"/>
          <w:color w:val="auto"/>
          <w:spacing w:val="0"/>
          <w:sz w:val="32"/>
          <w:szCs w:val="32"/>
          <w:shd w:val="clear" w:color="auto" w:fill="FFFFFF"/>
        </w:rPr>
        <w:t>，</w:t>
      </w:r>
      <w:r>
        <w:rPr>
          <w:rFonts w:hint="default" w:ascii="Times New Roman" w:hAnsi="Times New Roman" w:eastAsia="仿宋" w:cs="Times New Roman"/>
          <w:i w:val="0"/>
          <w:caps w:val="0"/>
          <w:color w:val="auto"/>
          <w:spacing w:val="0"/>
          <w:sz w:val="32"/>
          <w:szCs w:val="32"/>
          <w:shd w:val="clear" w:color="auto" w:fill="FFFFFF"/>
          <w:lang w:eastAsia="zh-CN"/>
        </w:rPr>
        <w:t>成立区城改</w:t>
      </w:r>
      <w:r>
        <w:rPr>
          <w:rFonts w:hint="default" w:ascii="Times New Roman" w:hAnsi="Times New Roman" w:eastAsia="仿宋" w:cs="Times New Roman"/>
          <w:i w:val="0"/>
          <w:caps w:val="0"/>
          <w:color w:val="auto"/>
          <w:spacing w:val="0"/>
          <w:sz w:val="32"/>
          <w:szCs w:val="32"/>
          <w:shd w:val="clear" w:color="auto" w:fill="FFFFFF"/>
        </w:rPr>
        <w:t>局政府信息公开工作领导小组</w:t>
      </w:r>
      <w:r>
        <w:rPr>
          <w:rFonts w:hint="default" w:ascii="Times New Roman" w:hAnsi="Times New Roman" w:eastAsia="仿宋" w:cs="Times New Roman"/>
          <w:i w:val="0"/>
          <w:caps w:val="0"/>
          <w:color w:val="auto"/>
          <w:spacing w:val="0"/>
          <w:sz w:val="32"/>
          <w:szCs w:val="32"/>
          <w:shd w:val="clear" w:color="auto" w:fill="FFFFFF"/>
          <w:lang w:eastAsia="zh-CN"/>
        </w:rPr>
        <w:t>，明确领导分工，细化各科室信息公开工作责任，确定</w:t>
      </w:r>
      <w:r>
        <w:rPr>
          <w:rFonts w:hint="default" w:ascii="Times New Roman" w:hAnsi="Times New Roman" w:eastAsia="仿宋" w:cs="Times New Roman"/>
          <w:i w:val="0"/>
          <w:caps w:val="0"/>
          <w:color w:val="auto"/>
          <w:spacing w:val="0"/>
          <w:sz w:val="32"/>
          <w:szCs w:val="32"/>
          <w:shd w:val="clear" w:color="auto" w:fill="FFFFFF"/>
          <w:lang w:val="en-US" w:eastAsia="zh-CN"/>
        </w:rPr>
        <w:t>专人专门收集整理、报送信息，</w:t>
      </w:r>
      <w:r>
        <w:rPr>
          <w:rFonts w:hint="default" w:ascii="Times New Roman" w:hAnsi="Times New Roman" w:eastAsia="仿宋" w:cs="Times New Roman"/>
          <w:i w:val="0"/>
          <w:caps w:val="0"/>
          <w:color w:val="auto"/>
          <w:spacing w:val="0"/>
          <w:sz w:val="32"/>
          <w:szCs w:val="32"/>
          <w:shd w:val="clear" w:color="auto" w:fill="FFFFFF"/>
          <w:lang w:eastAsia="zh-CN"/>
        </w:rPr>
        <w:t>形成“领导具体抓、责任到科室”的工作机制，</w:t>
      </w:r>
      <w:r>
        <w:rPr>
          <w:rFonts w:hint="default" w:ascii="Times New Roman" w:hAnsi="Times New Roman" w:eastAsia="仿宋" w:cs="Times New Roman"/>
          <w:i w:val="0"/>
          <w:caps w:val="0"/>
          <w:color w:val="auto"/>
          <w:spacing w:val="0"/>
          <w:kern w:val="2"/>
          <w:sz w:val="32"/>
          <w:szCs w:val="32"/>
          <w:shd w:val="clear" w:color="auto" w:fill="FFFFFF"/>
          <w:lang w:val="en-US" w:eastAsia="zh-CN" w:bidi="ar-SA"/>
        </w:rPr>
        <w:t>确保政府信息严格审核、及时公开。</w:t>
      </w:r>
      <w:r>
        <w:rPr>
          <w:rFonts w:hint="default" w:ascii="Times New Roman" w:hAnsi="Times New Roman" w:eastAsia="仿宋" w:cs="Times New Roman"/>
          <w:i w:val="0"/>
          <w:caps w:val="0"/>
          <w:color w:val="auto"/>
          <w:spacing w:val="0"/>
          <w:sz w:val="32"/>
          <w:szCs w:val="32"/>
          <w:shd w:val="clear" w:color="auto" w:fill="FFFFFF"/>
          <w:lang w:val="en-US" w:eastAsia="zh-CN"/>
        </w:rPr>
        <w:t>2023年</w:t>
      </w:r>
      <w:r>
        <w:rPr>
          <w:rFonts w:hint="default" w:ascii="Times New Roman" w:hAnsi="Times New Roman" w:eastAsia="仿宋" w:cs="Times New Roman"/>
          <w:i w:val="0"/>
          <w:caps w:val="0"/>
          <w:color w:val="auto"/>
          <w:spacing w:val="0"/>
          <w:sz w:val="32"/>
          <w:szCs w:val="32"/>
          <w:shd w:val="clear" w:color="auto" w:fill="FFFFFF"/>
          <w:lang w:eastAsia="zh-CN"/>
        </w:rPr>
        <w:t>区城改局</w:t>
      </w:r>
      <w:r>
        <w:rPr>
          <w:rFonts w:hint="default" w:ascii="Times New Roman" w:hAnsi="Times New Roman" w:eastAsia="仿宋" w:cs="Times New Roman"/>
          <w:i w:val="0"/>
          <w:caps w:val="0"/>
          <w:color w:val="auto"/>
          <w:spacing w:val="0"/>
          <w:sz w:val="32"/>
          <w:szCs w:val="32"/>
          <w:shd w:val="clear" w:color="auto" w:fill="FFFFFF"/>
          <w:lang w:val="en-US" w:eastAsia="zh-CN"/>
        </w:rPr>
        <w:t>通过政府门户网站公开信息22条。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 w:cs="Times New Roman"/>
          <w:b w:val="0"/>
          <w:bCs w:val="0"/>
          <w:color w:val="auto"/>
          <w:kern w:val="0"/>
          <w:sz w:val="32"/>
          <w:szCs w:val="32"/>
          <w:highlight w:val="none"/>
          <w:lang w:val="en-US" w:eastAsia="zh-CN" w:bidi="ar-SA"/>
        </w:rPr>
      </w:pPr>
      <w:r>
        <w:rPr>
          <w:rFonts w:hint="default" w:ascii="Times New Roman" w:hAnsi="Times New Roman" w:eastAsia="楷体" w:cs="Times New Roman"/>
          <w:i w:val="0"/>
          <w:caps w:val="0"/>
          <w:color w:val="auto"/>
          <w:spacing w:val="0"/>
          <w:kern w:val="2"/>
          <w:sz w:val="32"/>
          <w:szCs w:val="32"/>
          <w:shd w:val="clear" w:color="auto" w:fill="FFFFFF"/>
          <w:lang w:val="en-US" w:eastAsia="zh-CN" w:bidi="ar-SA"/>
        </w:rPr>
        <w:t>（二）政府信息依申请公开情况。</w:t>
      </w:r>
      <w:r>
        <w:rPr>
          <w:rFonts w:hint="default" w:ascii="Times New Roman" w:hAnsi="Times New Roman" w:eastAsia="仿宋" w:cs="Times New Roman"/>
          <w:i w:val="0"/>
          <w:caps w:val="0"/>
          <w:color w:val="auto"/>
          <w:spacing w:val="0"/>
          <w:kern w:val="2"/>
          <w:sz w:val="32"/>
          <w:szCs w:val="32"/>
          <w:shd w:val="clear" w:color="auto" w:fill="FFFFFF"/>
          <w:lang w:val="en-US" w:eastAsia="zh-CN" w:bidi="ar-SA"/>
        </w:rPr>
        <w:t>2023年，区城改局</w:t>
      </w:r>
      <w:r>
        <w:rPr>
          <w:rFonts w:hint="eastAsia" w:ascii="Times New Roman" w:hAnsi="Times New Roman" w:eastAsia="仿宋" w:cs="Times New Roman"/>
          <w:i w:val="0"/>
          <w:caps w:val="0"/>
          <w:color w:val="auto"/>
          <w:spacing w:val="0"/>
          <w:kern w:val="2"/>
          <w:sz w:val="32"/>
          <w:szCs w:val="32"/>
          <w:shd w:val="clear" w:color="auto" w:fill="FFFFFF"/>
          <w:lang w:val="en-US" w:eastAsia="zh-CN" w:bidi="ar-SA"/>
        </w:rPr>
        <w:t>新收到依申请公开</w:t>
      </w:r>
      <w:r>
        <w:rPr>
          <w:rFonts w:hint="default" w:ascii="Times New Roman" w:hAnsi="Times New Roman" w:eastAsia="仿宋" w:cs="Times New Roman"/>
          <w:i w:val="0"/>
          <w:caps w:val="0"/>
          <w:color w:val="auto"/>
          <w:spacing w:val="0"/>
          <w:kern w:val="2"/>
          <w:sz w:val="32"/>
          <w:szCs w:val="32"/>
          <w:shd w:val="clear" w:color="auto" w:fill="FFFFFF"/>
          <w:lang w:val="en-US" w:eastAsia="zh-CN" w:bidi="ar-SA"/>
        </w:rPr>
        <w:t>政府信息</w:t>
      </w:r>
      <w:r>
        <w:rPr>
          <w:rFonts w:hint="eastAsia" w:ascii="Times New Roman" w:hAnsi="Times New Roman" w:eastAsia="仿宋" w:cs="Times New Roman"/>
          <w:i w:val="0"/>
          <w:caps w:val="0"/>
          <w:color w:val="auto"/>
          <w:spacing w:val="0"/>
          <w:kern w:val="2"/>
          <w:sz w:val="32"/>
          <w:szCs w:val="32"/>
          <w:shd w:val="clear" w:color="auto" w:fill="FFFFFF"/>
          <w:lang w:val="en-US" w:eastAsia="zh-CN" w:bidi="ar-SA"/>
        </w:rPr>
        <w:t>57</w:t>
      </w:r>
      <w:r>
        <w:rPr>
          <w:rFonts w:hint="default" w:ascii="Times New Roman" w:hAnsi="Times New Roman" w:eastAsia="仿宋" w:cs="Times New Roman"/>
          <w:i w:val="0"/>
          <w:caps w:val="0"/>
          <w:color w:val="auto"/>
          <w:spacing w:val="0"/>
          <w:kern w:val="2"/>
          <w:sz w:val="32"/>
          <w:szCs w:val="32"/>
          <w:shd w:val="clear" w:color="auto" w:fill="FFFFFF"/>
          <w:lang w:val="en-US" w:eastAsia="zh-CN" w:bidi="ar-SA"/>
        </w:rPr>
        <w:t>件，</w:t>
      </w:r>
      <w:r>
        <w:rPr>
          <w:rFonts w:hint="default" w:ascii="Times New Roman" w:hAnsi="Times New Roman" w:eastAsia="仿宋" w:cs="Times New Roman"/>
          <w:b w:val="0"/>
          <w:bCs w:val="0"/>
          <w:color w:val="auto"/>
          <w:kern w:val="0"/>
          <w:sz w:val="32"/>
          <w:szCs w:val="32"/>
          <w:highlight w:val="none"/>
          <w:lang w:val="en-US" w:eastAsia="zh-CN" w:bidi="ar-SA"/>
        </w:rPr>
        <w:t>上年结转申请</w:t>
      </w:r>
      <w:r>
        <w:rPr>
          <w:rFonts w:hint="eastAsia" w:ascii="Times New Roman" w:hAnsi="Times New Roman" w:eastAsia="仿宋" w:cs="Times New Roman"/>
          <w:b w:val="0"/>
          <w:bCs w:val="0"/>
          <w:color w:val="auto"/>
          <w:kern w:val="0"/>
          <w:sz w:val="32"/>
          <w:szCs w:val="32"/>
          <w:highlight w:val="none"/>
          <w:lang w:val="en-US" w:eastAsia="zh-CN" w:bidi="ar-SA"/>
        </w:rPr>
        <w:t>0</w:t>
      </w:r>
      <w:r>
        <w:rPr>
          <w:rFonts w:hint="default" w:ascii="Times New Roman" w:hAnsi="Times New Roman" w:eastAsia="仿宋" w:cs="Times New Roman"/>
          <w:b w:val="0"/>
          <w:bCs w:val="0"/>
          <w:color w:val="auto"/>
          <w:kern w:val="0"/>
          <w:sz w:val="32"/>
          <w:szCs w:val="32"/>
          <w:highlight w:val="none"/>
          <w:lang w:val="en-US" w:eastAsia="zh-CN" w:bidi="ar-SA"/>
        </w:rPr>
        <w:t>件，结转下年度继续办理3件。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auto"/>
          <w:spacing w:val="0"/>
          <w:kern w:val="2"/>
          <w:sz w:val="32"/>
          <w:szCs w:val="32"/>
          <w:shd w:val="clear" w:color="auto" w:fill="FFFFFF"/>
          <w:lang w:val="en-US" w:eastAsia="zh-CN" w:bidi="ar-SA"/>
        </w:rPr>
      </w:pPr>
      <w:r>
        <w:rPr>
          <w:rFonts w:hint="default" w:ascii="Times New Roman" w:hAnsi="Times New Roman" w:eastAsia="楷体" w:cs="Times New Roman"/>
          <w:i w:val="0"/>
          <w:caps w:val="0"/>
          <w:color w:val="auto"/>
          <w:spacing w:val="0"/>
          <w:kern w:val="2"/>
          <w:sz w:val="32"/>
          <w:szCs w:val="32"/>
          <w:shd w:val="clear" w:color="auto" w:fill="FFFFFF"/>
          <w:lang w:val="en-US" w:eastAsia="zh-CN" w:bidi="ar-SA"/>
        </w:rPr>
        <w:t>（三）政府信息管理情况。</w:t>
      </w:r>
      <w:r>
        <w:rPr>
          <w:rFonts w:hint="default" w:ascii="Times New Roman" w:hAnsi="Times New Roman" w:eastAsia="仿宋" w:cs="Times New Roman"/>
          <w:i w:val="0"/>
          <w:caps w:val="0"/>
          <w:color w:val="auto"/>
          <w:spacing w:val="0"/>
          <w:kern w:val="2"/>
          <w:sz w:val="32"/>
          <w:szCs w:val="32"/>
          <w:shd w:val="clear" w:color="auto" w:fill="FFFFFF"/>
          <w:lang w:val="en-US" w:eastAsia="zh-CN" w:bidi="ar-SA"/>
        </w:rPr>
        <w:t>进一步健全和完善工作机制</w:t>
      </w:r>
      <w:r>
        <w:rPr>
          <w:rFonts w:hint="default" w:ascii="Times New Roman" w:hAnsi="Times New Roman" w:eastAsia="仿宋" w:cs="Times New Roman"/>
          <w:i w:val="0"/>
          <w:caps w:val="0"/>
          <w:color w:val="auto"/>
          <w:spacing w:val="0"/>
          <w:sz w:val="32"/>
          <w:szCs w:val="32"/>
          <w:shd w:val="clear" w:color="auto" w:fill="FFFFFF"/>
          <w:lang w:val="en-US" w:eastAsia="zh-CN"/>
        </w:rPr>
        <w:t>，</w:t>
      </w:r>
      <w:r>
        <w:rPr>
          <w:rFonts w:hint="default" w:ascii="Times New Roman" w:hAnsi="Times New Roman" w:eastAsia="仿宋" w:cs="Times New Roman"/>
          <w:i w:val="0"/>
          <w:caps w:val="0"/>
          <w:color w:val="auto"/>
          <w:spacing w:val="0"/>
          <w:sz w:val="32"/>
          <w:szCs w:val="32"/>
          <w:shd w:val="clear" w:color="auto" w:fill="FFFFFF"/>
          <w:lang w:eastAsia="zh-CN"/>
        </w:rPr>
        <w:t>明确政府</w:t>
      </w:r>
      <w:r>
        <w:rPr>
          <w:rFonts w:hint="default" w:ascii="Times New Roman" w:hAnsi="Times New Roman" w:eastAsia="仿宋" w:cs="Times New Roman"/>
          <w:i w:val="0"/>
          <w:caps w:val="0"/>
          <w:color w:val="auto"/>
          <w:spacing w:val="0"/>
          <w:sz w:val="32"/>
          <w:szCs w:val="32"/>
          <w:shd w:val="clear" w:color="auto" w:fill="FFFFFF"/>
        </w:rPr>
        <w:t>信息公开的范围、公开的内容、公开的形式</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按照标准统一、运作规范的要求,做好</w:t>
      </w:r>
      <w:r>
        <w:rPr>
          <w:rFonts w:hint="default" w:ascii="Times New Roman" w:hAnsi="Times New Roman" w:eastAsia="仿宋" w:cs="Times New Roman"/>
          <w:i w:val="0"/>
          <w:caps w:val="0"/>
          <w:color w:val="auto"/>
          <w:spacing w:val="0"/>
          <w:sz w:val="32"/>
          <w:szCs w:val="32"/>
          <w:shd w:val="clear" w:color="auto" w:fill="FFFFFF"/>
          <w:lang w:eastAsia="zh-CN"/>
        </w:rPr>
        <w:t>政府</w:t>
      </w:r>
      <w:r>
        <w:rPr>
          <w:rFonts w:hint="default" w:ascii="Times New Roman" w:hAnsi="Times New Roman" w:eastAsia="仿宋" w:cs="Times New Roman"/>
          <w:i w:val="0"/>
          <w:caps w:val="0"/>
          <w:color w:val="auto"/>
          <w:spacing w:val="0"/>
          <w:sz w:val="32"/>
          <w:szCs w:val="32"/>
          <w:shd w:val="clear" w:color="auto" w:fill="FFFFFF"/>
        </w:rPr>
        <w:t>信息公开内容的补充及</w:t>
      </w:r>
      <w:r>
        <w:rPr>
          <w:rFonts w:hint="default" w:ascii="Times New Roman" w:hAnsi="Times New Roman" w:eastAsia="仿宋" w:cs="Times New Roman"/>
          <w:i w:val="0"/>
          <w:caps w:val="0"/>
          <w:color w:val="auto"/>
          <w:spacing w:val="0"/>
          <w:sz w:val="32"/>
          <w:szCs w:val="32"/>
          <w:shd w:val="clear" w:color="auto" w:fill="FFFFFF"/>
          <w:lang w:eastAsia="zh-CN"/>
        </w:rPr>
        <w:t>更新</w:t>
      </w:r>
      <w:r>
        <w:rPr>
          <w:rFonts w:hint="default" w:ascii="Times New Roman" w:hAnsi="Times New Roman" w:eastAsia="仿宋" w:cs="Times New Roman"/>
          <w:i w:val="0"/>
          <w:caps w:val="0"/>
          <w:color w:val="auto"/>
          <w:spacing w:val="0"/>
          <w:sz w:val="32"/>
          <w:szCs w:val="32"/>
          <w:shd w:val="clear" w:color="auto" w:fill="FFFFFF"/>
        </w:rPr>
        <w:t>。</w:t>
      </w:r>
      <w:r>
        <w:rPr>
          <w:rFonts w:hint="default" w:ascii="Times New Roman" w:hAnsi="Times New Roman" w:eastAsia="仿宋" w:cs="Times New Roman"/>
          <w:i w:val="0"/>
          <w:caps w:val="0"/>
          <w:color w:val="auto"/>
          <w:spacing w:val="0"/>
          <w:sz w:val="32"/>
          <w:szCs w:val="32"/>
          <w:shd w:val="clear" w:color="auto" w:fill="FFFFFF"/>
          <w:lang w:eastAsia="zh-CN"/>
        </w:rPr>
        <w:t>同时，</w:t>
      </w:r>
      <w:r>
        <w:rPr>
          <w:rFonts w:hint="default" w:ascii="Times New Roman" w:hAnsi="Times New Roman" w:eastAsia="仿宋" w:cs="Times New Roman"/>
          <w:i w:val="0"/>
          <w:caps w:val="0"/>
          <w:color w:val="auto"/>
          <w:spacing w:val="0"/>
          <w:sz w:val="32"/>
          <w:szCs w:val="32"/>
          <w:shd w:val="clear" w:color="auto" w:fill="FFFFFF"/>
        </w:rPr>
        <w:t>针对公开项目的不同情况，确定公开时间，做到常规性工作定期公开，临时性工作随时公开，固定性工作长期公开。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auto"/>
          <w:spacing w:val="0"/>
          <w:kern w:val="2"/>
          <w:sz w:val="32"/>
          <w:szCs w:val="32"/>
          <w:shd w:val="clear" w:color="auto" w:fill="FFFFFF"/>
          <w:lang w:val="en-US" w:eastAsia="zh-CN" w:bidi="ar-SA"/>
        </w:rPr>
      </w:pPr>
      <w:r>
        <w:rPr>
          <w:rFonts w:hint="default" w:ascii="Times New Roman" w:hAnsi="Times New Roman" w:eastAsia="楷体" w:cs="Times New Roman"/>
          <w:i w:val="0"/>
          <w:caps w:val="0"/>
          <w:color w:val="auto"/>
          <w:spacing w:val="0"/>
          <w:kern w:val="2"/>
          <w:sz w:val="32"/>
          <w:szCs w:val="32"/>
          <w:shd w:val="clear" w:color="auto" w:fill="FFFFFF"/>
          <w:lang w:val="en-US" w:eastAsia="zh-CN" w:bidi="ar-SA"/>
        </w:rPr>
        <w:t>（四）政府信息公开平台建设情况。</w:t>
      </w:r>
      <w:r>
        <w:rPr>
          <w:rFonts w:hint="default" w:ascii="Times New Roman" w:hAnsi="Times New Roman" w:eastAsia="仿宋" w:cs="Times New Roman"/>
          <w:i w:val="0"/>
          <w:caps w:val="0"/>
          <w:color w:val="auto"/>
          <w:spacing w:val="0"/>
          <w:kern w:val="2"/>
          <w:sz w:val="32"/>
          <w:szCs w:val="32"/>
          <w:shd w:val="clear" w:color="auto" w:fill="FFFFFF"/>
          <w:lang w:val="en-US" w:eastAsia="zh-CN" w:bidi="ar-SA"/>
        </w:rPr>
        <w:t>坚持以项目建设为重点，结合工作职能，积极抓好政务网站的信息发布，通过硚口信息网政务公开栏主动公开国有土地上房屋征收与补偿等重点领域信息。及时编辑报送信息，严格审核信息材料，定期更新信息内容，确保信息公开及时有效、渠道源头追溯可查，公民和社会其他组织均可登录网站进行浏览、查询。</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仿宋" w:cs="Times New Roman"/>
          <w:i w:val="0"/>
          <w:caps w:val="0"/>
          <w:color w:val="auto"/>
          <w:spacing w:val="0"/>
          <w:kern w:val="2"/>
          <w:sz w:val="32"/>
          <w:szCs w:val="32"/>
          <w:shd w:val="clear" w:color="auto" w:fill="FFFFFF"/>
          <w:lang w:val="en-US" w:eastAsia="zh-CN" w:bidi="ar-SA"/>
        </w:rPr>
      </w:pPr>
      <w:r>
        <w:rPr>
          <w:rFonts w:hint="default" w:ascii="Times New Roman" w:hAnsi="Times New Roman" w:eastAsia="楷体" w:cs="Times New Roman"/>
          <w:i w:val="0"/>
          <w:caps w:val="0"/>
          <w:color w:val="auto"/>
          <w:spacing w:val="0"/>
          <w:kern w:val="2"/>
          <w:sz w:val="32"/>
          <w:szCs w:val="32"/>
          <w:shd w:val="clear" w:color="auto" w:fill="FFFFFF"/>
          <w:lang w:val="en-US" w:eastAsia="zh-CN" w:bidi="ar-SA"/>
        </w:rPr>
        <w:t xml:space="preserve">   （五）监督保障情况。</w:t>
      </w:r>
      <w:r>
        <w:rPr>
          <w:rFonts w:hint="default" w:ascii="Times New Roman" w:hAnsi="Times New Roman" w:eastAsia="仿宋" w:cs="Times New Roman"/>
          <w:i w:val="0"/>
          <w:caps w:val="0"/>
          <w:color w:val="auto"/>
          <w:spacing w:val="0"/>
          <w:kern w:val="2"/>
          <w:sz w:val="32"/>
          <w:szCs w:val="32"/>
          <w:shd w:val="clear" w:color="auto" w:fill="FFFFFF"/>
          <w:lang w:val="en-US" w:eastAsia="zh-CN" w:bidi="ar-SA"/>
        </w:rPr>
        <w:t>区城改局高度重视政务公开考核工作，把政务公开纳入年度目标工作考核，建立监督评议制度，自觉接受社会各界监督，主动听取群众意见和建议。2023年度，单位及相关个人未因政务公开被责任追究。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val="0"/>
          <w:i w:val="0"/>
          <w:caps w:val="0"/>
          <w:color w:val="auto"/>
          <w:spacing w:val="0"/>
          <w:sz w:val="32"/>
          <w:szCs w:val="32"/>
          <w:shd w:val="clear" w:color="auto" w:fill="FFFFFF"/>
          <w:lang w:eastAsia="zh-CN"/>
        </w:rPr>
      </w:pP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lang w:eastAsia="zh-CN"/>
        </w:rPr>
        <w:t>二、主动公开政府信息情况</w:t>
      </w:r>
      <w:r>
        <w:rPr>
          <w:rFonts w:hint="default" w:ascii="Times New Roman" w:hAnsi="Times New Roman" w:eastAsia="黑体" w:cs="Times New Roman"/>
          <w:b w:val="0"/>
          <w:bCs w:val="0"/>
          <w:i w:val="0"/>
          <w:caps w:val="0"/>
          <w:color w:val="auto"/>
          <w:spacing w:val="0"/>
          <w:sz w:val="32"/>
          <w:szCs w:val="32"/>
          <w:shd w:val="clear" w:color="auto" w:fill="FFFFFF"/>
          <w:lang w:eastAsia="zh-CN"/>
        </w:rPr>
        <w:tab/>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eastAsia="仿宋" w:cs="Times New Roman"/>
          <w:b w:val="0"/>
          <w:bCs w:val="0"/>
          <w:color w:val="333333"/>
          <w:sz w:val="32"/>
          <w:szCs w:val="32"/>
          <w:lang w:eastAsia="zh-CN"/>
        </w:rPr>
      </w:pPr>
      <w:r>
        <w:rPr>
          <w:rFonts w:hint="default" w:ascii="Times New Roman" w:hAnsi="Times New Roman" w:eastAsia="仿宋" w:cs="Times New Roman"/>
          <w:i w:val="0"/>
          <w:caps w:val="0"/>
          <w:color w:val="auto"/>
          <w:spacing w:val="0"/>
          <w:kern w:val="2"/>
          <w:sz w:val="32"/>
          <w:szCs w:val="32"/>
          <w:shd w:val="clear" w:color="auto" w:fill="FFFFFF"/>
          <w:lang w:val="en-US" w:eastAsia="zh-CN" w:bidi="ar-SA"/>
        </w:rPr>
        <w:t>2023年，区城改局未制发规章及行政规范性文件；无行政许可、行政处罚、行政强制处理决定事项；无行政事业性收费事项。</w:t>
      </w:r>
    </w:p>
    <w:tbl>
      <w:tblPr>
        <w:tblStyle w:val="15"/>
        <w:tblW w:w="89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9"/>
        <w:gridCol w:w="2240"/>
        <w:gridCol w:w="22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895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信息内容</w:t>
            </w:r>
          </w:p>
        </w:tc>
        <w:tc>
          <w:tcPr>
            <w:tcW w:w="224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本年</w:t>
            </w:r>
            <w:r>
              <w:rPr>
                <w:rFonts w:hint="default" w:ascii="Times New Roman" w:hAnsi="Times New Roman" w:eastAsia="宋体" w:cs="Times New Roman"/>
                <w:color w:val="333333"/>
                <w:kern w:val="0"/>
                <w:sz w:val="21"/>
                <w:szCs w:val="21"/>
                <w:lang w:val="en-US" w:eastAsia="zh-CN" w:bidi="ar"/>
              </w:rPr>
              <w:t>制发件数</w:t>
            </w:r>
          </w:p>
        </w:tc>
        <w:tc>
          <w:tcPr>
            <w:tcW w:w="2240"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本年废止件数</w:t>
            </w:r>
          </w:p>
        </w:tc>
        <w:tc>
          <w:tcPr>
            <w:tcW w:w="224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现行有效件</w:t>
            </w:r>
            <w:r>
              <w:rPr>
                <w:rFonts w:hint="default" w:ascii="Times New Roman" w:hAnsi="Times New Roman" w:eastAsia="宋体" w:cs="Times New Roman"/>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规章</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0</w:t>
            </w:r>
          </w:p>
        </w:tc>
        <w:tc>
          <w:tcPr>
            <w:tcW w:w="2240"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0</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行政规范性文件</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0</w:t>
            </w:r>
          </w:p>
        </w:tc>
        <w:tc>
          <w:tcPr>
            <w:tcW w:w="2240"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0</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信息内容</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jc w:val="center"/>
        </w:trPr>
        <w:tc>
          <w:tcPr>
            <w:tcW w:w="2239"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行政许可</w:t>
            </w:r>
          </w:p>
        </w:tc>
        <w:tc>
          <w:tcPr>
            <w:tcW w:w="672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信息内容</w:t>
            </w:r>
          </w:p>
        </w:tc>
        <w:tc>
          <w:tcPr>
            <w:tcW w:w="672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行政处罚</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行政强制</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信息内容</w:t>
            </w:r>
          </w:p>
        </w:tc>
        <w:tc>
          <w:tcPr>
            <w:tcW w:w="672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行政事业性收费</w:t>
            </w:r>
          </w:p>
        </w:tc>
        <w:tc>
          <w:tcPr>
            <w:tcW w:w="672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lang w:val="en-US" w:eastAsia="zh-CN"/>
              </w:rPr>
              <w:t>0</w:t>
            </w:r>
          </w:p>
        </w:tc>
      </w:tr>
    </w:tbl>
    <w:p>
      <w:pPr>
        <w:pStyle w:val="3"/>
        <w:keepNext w:val="0"/>
        <w:keepLines w:val="0"/>
        <w:pageBreakBefore w:val="0"/>
        <w:widowControl/>
        <w:numPr>
          <w:ilvl w:val="0"/>
          <w:numId w:val="0"/>
        </w:numPr>
        <w:suppressLineNumbers w:val="0"/>
        <w:tabs>
          <w:tab w:val="left" w:pos="688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333333"/>
          <w:sz w:val="32"/>
          <w:szCs w:val="32"/>
          <w:lang w:eastAsia="zh-CN"/>
        </w:rPr>
      </w:pPr>
      <w:r>
        <w:rPr>
          <w:rFonts w:hint="default" w:ascii="Times New Roman" w:hAnsi="Times New Roman" w:eastAsia="黑体" w:cs="Times New Roman"/>
          <w:b w:val="0"/>
          <w:bCs w:val="0"/>
          <w:color w:val="333333"/>
          <w:sz w:val="32"/>
          <w:szCs w:val="32"/>
          <w:lang w:eastAsia="zh-CN"/>
        </w:rPr>
        <w:t>三、</w:t>
      </w:r>
      <w:r>
        <w:rPr>
          <w:rFonts w:hint="default" w:ascii="Times New Roman" w:hAnsi="Times New Roman" w:eastAsia="黑体" w:cs="Times New Roman"/>
          <w:b w:val="0"/>
          <w:bCs w:val="0"/>
          <w:color w:val="333333"/>
          <w:sz w:val="32"/>
          <w:szCs w:val="32"/>
        </w:rPr>
        <w:t>收到和处理政府信息公开申请情况</w:t>
      </w:r>
      <w:r>
        <w:rPr>
          <w:rFonts w:hint="default" w:ascii="Times New Roman" w:hAnsi="Times New Roman" w:eastAsia="黑体" w:cs="Times New Roman"/>
          <w:b w:val="0"/>
          <w:bCs w:val="0"/>
          <w:color w:val="333333"/>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2023年区城改局注重规范政府信息依申请公开办理工作，更好地保障公民、法人和其他组织依法获取政府信息。全年接收政府信息公开申请5</w:t>
      </w:r>
      <w:r>
        <w:rPr>
          <w:rFonts w:hint="eastAsia" w:ascii="Times New Roman" w:hAnsi="Times New Roman" w:eastAsia="仿宋" w:cs="Times New Roman"/>
          <w:i w:val="0"/>
          <w:caps w:val="0"/>
          <w:color w:val="auto"/>
          <w:spacing w:val="0"/>
          <w:sz w:val="32"/>
          <w:szCs w:val="32"/>
          <w:shd w:val="clear" w:color="auto" w:fill="FFFFFF"/>
          <w:lang w:val="en-US" w:eastAsia="zh-CN"/>
        </w:rPr>
        <w:t>7</w:t>
      </w:r>
      <w:r>
        <w:rPr>
          <w:rFonts w:hint="default" w:ascii="Times New Roman" w:hAnsi="Times New Roman" w:eastAsia="仿宋" w:cs="Times New Roman"/>
          <w:i w:val="0"/>
          <w:caps w:val="0"/>
          <w:color w:val="auto"/>
          <w:spacing w:val="0"/>
          <w:sz w:val="32"/>
          <w:szCs w:val="32"/>
          <w:shd w:val="clear" w:color="auto" w:fill="FFFFFF"/>
          <w:lang w:val="en-US" w:eastAsia="zh-CN"/>
        </w:rPr>
        <w:t>件，结转上年度</w:t>
      </w:r>
      <w:r>
        <w:rPr>
          <w:rFonts w:hint="eastAsia" w:ascii="Times New Roman" w:hAnsi="Times New Roman" w:eastAsia="仿宋" w:cs="Times New Roman"/>
          <w:i w:val="0"/>
          <w:caps w:val="0"/>
          <w:color w:val="auto"/>
          <w:spacing w:val="0"/>
          <w:sz w:val="32"/>
          <w:szCs w:val="32"/>
          <w:shd w:val="clear" w:color="auto" w:fill="FFFFFF"/>
          <w:lang w:val="en-US" w:eastAsia="zh-CN"/>
        </w:rPr>
        <w:t>0</w:t>
      </w:r>
      <w:r>
        <w:rPr>
          <w:rFonts w:hint="default" w:ascii="Times New Roman" w:hAnsi="Times New Roman" w:eastAsia="仿宋" w:cs="Times New Roman"/>
          <w:i w:val="0"/>
          <w:caps w:val="0"/>
          <w:color w:val="auto"/>
          <w:spacing w:val="0"/>
          <w:sz w:val="32"/>
          <w:szCs w:val="32"/>
          <w:shd w:val="clear" w:color="auto" w:fill="FFFFFF"/>
          <w:lang w:val="en-US" w:eastAsia="zh-CN"/>
        </w:rPr>
        <w:t>件。已按要求答复5</w:t>
      </w:r>
      <w:r>
        <w:rPr>
          <w:rFonts w:hint="eastAsia" w:ascii="Times New Roman" w:hAnsi="Times New Roman" w:eastAsia="仿宋" w:cs="Times New Roman"/>
          <w:i w:val="0"/>
          <w:caps w:val="0"/>
          <w:color w:val="auto"/>
          <w:spacing w:val="0"/>
          <w:sz w:val="32"/>
          <w:szCs w:val="32"/>
          <w:shd w:val="clear" w:color="auto" w:fill="FFFFFF"/>
          <w:lang w:val="en-US" w:eastAsia="zh-CN"/>
        </w:rPr>
        <w:t>4</w:t>
      </w:r>
      <w:r>
        <w:rPr>
          <w:rFonts w:hint="default" w:ascii="Times New Roman" w:hAnsi="Times New Roman" w:eastAsia="仿宋" w:cs="Times New Roman"/>
          <w:i w:val="0"/>
          <w:caps w:val="0"/>
          <w:color w:val="auto"/>
          <w:spacing w:val="0"/>
          <w:sz w:val="32"/>
          <w:szCs w:val="32"/>
          <w:shd w:val="clear" w:color="auto" w:fill="FFFFFF"/>
          <w:lang w:val="en-US" w:eastAsia="zh-CN"/>
        </w:rPr>
        <w:t>件，3件尚未答复，结转至2024年。</w:t>
      </w:r>
    </w:p>
    <w:tbl>
      <w:tblPr>
        <w:tblStyle w:val="15"/>
        <w:tblW w:w="890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682"/>
        <w:gridCol w:w="835"/>
        <w:gridCol w:w="2997"/>
        <w:gridCol w:w="621"/>
        <w:gridCol w:w="621"/>
        <w:gridCol w:w="621"/>
        <w:gridCol w:w="621"/>
        <w:gridCol w:w="621"/>
        <w:gridCol w:w="644"/>
        <w:gridCol w:w="6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jc w:val="center"/>
        </w:trPr>
        <w:tc>
          <w:tcPr>
            <w:tcW w:w="4514"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highlight w:val="none"/>
              </w:rPr>
            </w:pPr>
            <w:r>
              <w:rPr>
                <w:rFonts w:hint="default" w:ascii="Times New Roman" w:hAnsi="Times New Roman" w:eastAsia="楷体" w:cs="Times New Roman"/>
                <w:color w:val="auto"/>
                <w:kern w:val="0"/>
                <w:sz w:val="20"/>
                <w:szCs w:val="20"/>
                <w:highlight w:val="none"/>
                <w:lang w:val="en-US" w:eastAsia="zh-CN" w:bidi="ar"/>
              </w:rPr>
              <w:t>（本列数据的勾稽关系为：第一项加第二项之和，等于第三项加第四项之和）</w:t>
            </w:r>
          </w:p>
        </w:tc>
        <w:tc>
          <w:tcPr>
            <w:tcW w:w="4387"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14"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621" w:type="dxa"/>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自然人</w:t>
            </w:r>
          </w:p>
        </w:tc>
        <w:tc>
          <w:tcPr>
            <w:tcW w:w="3128"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法人或其他组织</w:t>
            </w:r>
          </w:p>
        </w:tc>
        <w:tc>
          <w:tcPr>
            <w:tcW w:w="638"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14"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621"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none"/>
              </w:rPr>
            </w:pP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企业</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机构</w:t>
            </w:r>
          </w:p>
        </w:tc>
        <w:tc>
          <w:tcPr>
            <w:tcW w:w="62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社会公益组织</w:t>
            </w:r>
          </w:p>
        </w:tc>
        <w:tc>
          <w:tcPr>
            <w:tcW w:w="62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法律服务机构</w:t>
            </w:r>
          </w:p>
        </w:tc>
        <w:tc>
          <w:tcPr>
            <w:tcW w:w="644"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w:t>
            </w:r>
          </w:p>
        </w:tc>
        <w:tc>
          <w:tcPr>
            <w:tcW w:w="638" w:type="dxa"/>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1"/>
                <w:szCs w:val="21"/>
                <w:highlight w:val="yellow"/>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14"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一、本年新收政府信息公开申请数量</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56</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14" w:type="dxa"/>
            <w:gridSpan w:val="3"/>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二、上年结转政府信息公开申请数量</w:t>
            </w:r>
          </w:p>
        </w:tc>
        <w:tc>
          <w:tcPr>
            <w:tcW w:w="62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62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yellow"/>
              </w:rPr>
            </w:pPr>
            <w:r>
              <w:rPr>
                <w:rFonts w:hint="default" w:ascii="Times New Roman" w:hAnsi="Times New Roman" w:cs="Times New Roman" w:eastAsiaTheme="minorEastAsia"/>
                <w:color w:val="auto"/>
                <w:kern w:val="0"/>
                <w:sz w:val="21"/>
                <w:szCs w:val="21"/>
                <w:highlight w:val="none"/>
                <w:lang w:val="en-US" w:eastAsia="zh-CN" w:bidi="ar"/>
              </w:rPr>
              <w:t>三、本年度办理结果</w:t>
            </w:r>
          </w:p>
        </w:tc>
        <w:tc>
          <w:tcPr>
            <w:tcW w:w="3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（一）予以公开</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8</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3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（二）部分公开（区分处理的，只计这一情形，不计其他情形）</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35</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eastAsia" w:ascii="Times New Roman" w:hAnsi="Times New Roman" w:eastAsia="宋体" w:cs="Times New Roman"/>
                <w:color w:val="auto"/>
                <w:kern w:val="0"/>
                <w:sz w:val="21"/>
                <w:szCs w:val="21"/>
                <w:highlight w:val="none"/>
                <w:lang w:val="en-US" w:eastAsia="zh-CN" w:bidi="ar"/>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（三）不予公开</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1.属于国家秘密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2.其他法律行政法规禁止公开</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3.危及“三安全一稳定”</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4.保护第三方合法权益</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7</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5.属于三类内部事务信息</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6.属于四类过程性信息</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7.属于行政执法案卷</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8.属于行政查询事项</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（四）无法提供</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1.本机关不掌握相关政府信息</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2.没有现成信息需要另行制作</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3.补正后申请内容仍不明确</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（五）不予处理</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1.信访举报投诉类申请</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2.重复申请</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3.要求提供公开出版物</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4.无正当理由大量反复申请</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5.要求行政机关确认或重新出具已获取信息</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（六）其他处理</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1.申请人无正当理由逾期不补正、行政机关不再处理其政府信息公开申请</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2.申请人逾期未按收费通知要求缴纳费用、行政机关不再处理其政府信息公开申请</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2" w:type="dxa"/>
            <w:vMerge w:val="continue"/>
            <w:tcBorders>
              <w:top w:val="single" w:color="auto" w:sz="4" w:space="0"/>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835" w:type="dxa"/>
            <w:vMerge w:val="continue"/>
            <w:tcBorders>
              <w:top w:val="single" w:color="auto" w:sz="4"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none"/>
              </w:rPr>
            </w:pPr>
          </w:p>
        </w:tc>
        <w:tc>
          <w:tcPr>
            <w:tcW w:w="2997"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3.其他</w:t>
            </w:r>
          </w:p>
        </w:tc>
        <w:tc>
          <w:tcPr>
            <w:tcW w:w="62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392" w:hRule="atLeast"/>
          <w:jc w:val="center"/>
        </w:trPr>
        <w:tc>
          <w:tcPr>
            <w:tcW w:w="682" w:type="dxa"/>
            <w:vMerge w:val="continue"/>
            <w:tcBorders>
              <w:top w:val="nil"/>
              <w:left w:val="single" w:color="auto" w:sz="4"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1"/>
                <w:szCs w:val="21"/>
                <w:highlight w:val="yellow"/>
              </w:rPr>
            </w:pPr>
          </w:p>
        </w:tc>
        <w:tc>
          <w:tcPr>
            <w:tcW w:w="3832"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（七）总计</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53</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14"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val="en-US" w:eastAsia="zh-CN" w:bidi="ar"/>
              </w:rPr>
              <w:t>四、结转下年度继续办理</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2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 w:eastAsia="zh-CN" w:bidi="ar"/>
              </w:rPr>
              <w:t>0</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63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val="0"/>
          <w:i w:val="0"/>
          <w:caps w:val="0"/>
          <w:color w:val="auto"/>
          <w:spacing w:val="0"/>
          <w:sz w:val="32"/>
          <w:szCs w:val="32"/>
          <w:shd w:val="clear" w:color="auto" w:fill="FFFFFF"/>
          <w:lang w:eastAsia="zh-CN"/>
        </w:rPr>
      </w:pP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lang w:eastAsia="zh-CN"/>
        </w:rPr>
        <w:t>四、政府信息公开行政复议、行政诉讼情况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333333"/>
          <w:sz w:val="32"/>
          <w:szCs w:val="32"/>
          <w:highlight w:val="yellow"/>
          <w:lang w:val="en-US"/>
        </w:rPr>
      </w:pPr>
      <w:r>
        <w:rPr>
          <w:rFonts w:hint="default" w:ascii="Times New Roman" w:hAnsi="Times New Roman" w:eastAsia="仿宋" w:cs="Times New Roman"/>
          <w:color w:val="auto"/>
          <w:sz w:val="32"/>
          <w:szCs w:val="32"/>
          <w:lang w:val="en-US" w:eastAsia="zh-CN"/>
        </w:rPr>
        <w:t>2023年，区城区改造更新局因政府信息公开工作被申请行政复议3件；行政诉讼2件。</w:t>
      </w:r>
    </w:p>
    <w:tbl>
      <w:tblPr>
        <w:tblStyle w:val="15"/>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2"/>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0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行政复议</w:t>
            </w:r>
          </w:p>
        </w:tc>
        <w:tc>
          <w:tcPr>
            <w:tcW w:w="60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结果维持</w:t>
            </w:r>
          </w:p>
        </w:tc>
        <w:tc>
          <w:tcPr>
            <w:tcW w:w="60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纠正</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其他</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结果</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尚未</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审结</w:t>
            </w:r>
          </w:p>
        </w:tc>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总计</w:t>
            </w:r>
          </w:p>
        </w:tc>
        <w:tc>
          <w:tcPr>
            <w:tcW w:w="30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未经复议直接起诉</w:t>
            </w: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333333"/>
                <w:sz w:val="21"/>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333333"/>
                <w:sz w:val="21"/>
                <w:szCs w:val="21"/>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333333"/>
                <w:sz w:val="21"/>
                <w:szCs w:val="21"/>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333333"/>
                <w:sz w:val="21"/>
                <w:szCs w:val="21"/>
              </w:rPr>
            </w:pPr>
          </w:p>
        </w:tc>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333333"/>
                <w:sz w:val="21"/>
                <w:szCs w:val="21"/>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维持</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纠正</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其他</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结果</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尚未</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审结</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维持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纠正</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尚未</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审结</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1</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lang w:val="en-US" w:eastAsia="zh-CN"/>
              </w:rPr>
              <w:t>0</w:t>
            </w:r>
          </w:p>
        </w:tc>
      </w:tr>
    </w:tbl>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333333"/>
          <w:sz w:val="32"/>
          <w:szCs w:val="32"/>
        </w:rPr>
      </w:pPr>
      <w:r>
        <w:rPr>
          <w:rFonts w:hint="default" w:ascii="Times New Roman" w:hAnsi="Times New Roman" w:eastAsia="黑体" w:cs="Times New Roman"/>
          <w:b w:val="0"/>
          <w:bCs w:val="0"/>
          <w:color w:val="333333"/>
          <w:sz w:val="32"/>
          <w:szCs w:val="32"/>
          <w:lang w:eastAsia="zh-CN"/>
        </w:rPr>
        <w:t>五、</w:t>
      </w:r>
      <w:r>
        <w:rPr>
          <w:rFonts w:hint="default" w:ascii="Times New Roman" w:hAnsi="Times New Roman" w:eastAsia="黑体" w:cs="Times New Roman"/>
          <w:b w:val="0"/>
          <w:bCs w:val="0"/>
          <w:color w:val="333333"/>
          <w:sz w:val="32"/>
          <w:szCs w:val="32"/>
        </w:rPr>
        <w:t>存在的主要问题及改进情况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（一）存在的主要问题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按相关工作要求自查，存在以下问题：一是政府信息公开内容不够丰富全面；二是政府信息公开内容不够全面；三是工作动态更新频次较低。</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highlight w:val="yellow"/>
          <w:lang w:val="en-US" w:eastAsia="zh-CN"/>
        </w:rPr>
      </w:pPr>
      <w:r>
        <w:rPr>
          <w:rFonts w:hint="default" w:ascii="Times New Roman" w:hAnsi="Times New Roman" w:eastAsia="楷体" w:cs="Times New Roman"/>
          <w:color w:val="auto"/>
          <w:sz w:val="32"/>
          <w:szCs w:val="32"/>
          <w:lang w:val="en-US" w:eastAsia="zh-CN"/>
        </w:rPr>
        <w:t>（二）改进举措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sz w:val="32"/>
          <w:szCs w:val="32"/>
          <w:lang w:val="en-US" w:eastAsia="zh-CN"/>
        </w:rPr>
        <w:t>按照《条例》的规定和政府信息公开工作要求，区城改局将采取以下措施加以改进：一是继续充实公开内容，进一步做好公开政府信息的界定，完善主动公开的政府信息目录，加强对公众关注度高的政府热点信息的梳理；二是严格审查程序，对无法向申请人公开的政府信息做好充分的沟通、解释工作，确保政府信息公开工作质量。三是实时跟进我局各项工作进展及活动情况，及时发布最新工作动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楷体" w:cs="Times New Roman"/>
          <w:b w:val="0"/>
          <w:bCs w:val="0"/>
          <w:i w:val="0"/>
          <w:caps w:val="0"/>
          <w:color w:val="auto"/>
          <w:spacing w:val="0"/>
          <w:sz w:val="32"/>
          <w:szCs w:val="32"/>
          <w:shd w:val="clear" w:color="auto" w:fill="FFFFFF"/>
          <w:lang w:val="en-US" w:eastAsia="zh-CN"/>
        </w:rPr>
        <w:t>（一）政府信息处理费收取情况。</w:t>
      </w:r>
      <w:r>
        <w:rPr>
          <w:rFonts w:hint="default" w:ascii="Times New Roman" w:hAnsi="Times New Roman" w:eastAsia="仿宋" w:cs="Times New Roman"/>
          <w:i w:val="0"/>
          <w:caps w:val="0"/>
          <w:color w:val="auto"/>
          <w:spacing w:val="0"/>
          <w:sz w:val="32"/>
          <w:szCs w:val="32"/>
          <w:shd w:val="clear" w:color="auto" w:fill="FFFFFF"/>
          <w:lang w:val="en-US" w:eastAsia="zh-CN"/>
        </w:rPr>
        <w:t>2023年</w:t>
      </w:r>
      <w:r>
        <w:rPr>
          <w:rFonts w:hint="default" w:ascii="Times New Roman" w:hAnsi="Times New Roman" w:eastAsia="仿宋" w:cs="Times New Roman"/>
          <w:i w:val="0"/>
          <w:caps w:val="0"/>
          <w:color w:val="auto"/>
          <w:spacing w:val="0"/>
          <w:sz w:val="32"/>
          <w:szCs w:val="32"/>
          <w:shd w:val="clear" w:color="auto" w:fill="FFFFFF"/>
          <w:lang w:eastAsia="zh-CN"/>
        </w:rPr>
        <w:t>区城改局收取政府信息处理费为</w:t>
      </w:r>
      <w:r>
        <w:rPr>
          <w:rFonts w:hint="default" w:ascii="Times New Roman" w:hAnsi="Times New Roman" w:eastAsia="仿宋" w:cs="Times New Roman"/>
          <w:i w:val="0"/>
          <w:caps w:val="0"/>
          <w:color w:val="auto"/>
          <w:spacing w:val="0"/>
          <w:sz w:val="32"/>
          <w:szCs w:val="32"/>
          <w:shd w:val="clear" w:color="auto" w:fill="FFFFFF"/>
          <w:lang w:val="en-US" w:eastAsia="zh-CN"/>
        </w:rPr>
        <w:t>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楷体" w:cs="Times New Roman"/>
          <w:b w:val="0"/>
          <w:bCs w:val="0"/>
          <w:i w:val="0"/>
          <w:caps w:val="0"/>
          <w:color w:val="auto"/>
          <w:spacing w:val="0"/>
          <w:sz w:val="32"/>
          <w:szCs w:val="32"/>
          <w:shd w:val="clear" w:color="auto" w:fill="FFFFFF"/>
          <w:lang w:val="en-US" w:eastAsia="zh-CN"/>
        </w:rPr>
        <w:t>（二）建议提案办理情况。</w:t>
      </w:r>
      <w:r>
        <w:rPr>
          <w:rFonts w:hint="default" w:ascii="Times New Roman" w:hAnsi="Times New Roman" w:eastAsia="仿宋" w:cs="Times New Roman"/>
          <w:i w:val="0"/>
          <w:caps w:val="0"/>
          <w:color w:val="auto"/>
          <w:spacing w:val="0"/>
          <w:sz w:val="32"/>
          <w:szCs w:val="32"/>
          <w:shd w:val="clear" w:color="auto" w:fill="FFFFFF"/>
          <w:lang w:val="en-US" w:eastAsia="zh-CN"/>
        </w:rPr>
        <w:t>2023年</w:t>
      </w:r>
      <w:r>
        <w:rPr>
          <w:rFonts w:hint="default" w:ascii="Times New Roman" w:hAnsi="Times New Roman" w:eastAsia="仿宋" w:cs="Times New Roman"/>
          <w:i w:val="0"/>
          <w:caps w:val="0"/>
          <w:color w:val="auto"/>
          <w:spacing w:val="0"/>
          <w:sz w:val="32"/>
          <w:szCs w:val="32"/>
          <w:shd w:val="clear" w:color="auto" w:fill="FFFFFF"/>
          <w:lang w:eastAsia="zh-CN"/>
        </w:rPr>
        <w:t>区城改局</w:t>
      </w:r>
      <w:r>
        <w:rPr>
          <w:rFonts w:hint="default" w:ascii="Times New Roman" w:hAnsi="Times New Roman" w:eastAsia="仿宋" w:cs="Times New Roman"/>
          <w:i w:val="0"/>
          <w:caps w:val="0"/>
          <w:color w:val="auto"/>
          <w:spacing w:val="0"/>
          <w:sz w:val="32"/>
          <w:szCs w:val="32"/>
          <w:shd w:val="clear" w:color="auto" w:fill="FFFFFF"/>
        </w:rPr>
        <w:t>承办市、区人大代表建议和区政协提案共</w:t>
      </w:r>
      <w:r>
        <w:rPr>
          <w:rFonts w:hint="default" w:ascii="Times New Roman" w:hAnsi="Times New Roman" w:eastAsia="仿宋" w:cs="Times New Roman"/>
          <w:i w:val="0"/>
          <w:caps w:val="0"/>
          <w:color w:val="auto"/>
          <w:spacing w:val="0"/>
          <w:sz w:val="32"/>
          <w:szCs w:val="32"/>
          <w:shd w:val="clear" w:color="auto" w:fill="FFFFFF"/>
          <w:lang w:val="en-US" w:eastAsia="zh-CN"/>
        </w:rPr>
        <w:t>28</w:t>
      </w:r>
      <w:r>
        <w:rPr>
          <w:rFonts w:hint="default" w:ascii="Times New Roman" w:hAnsi="Times New Roman" w:eastAsia="仿宋" w:cs="Times New Roman"/>
          <w:i w:val="0"/>
          <w:caps w:val="0"/>
          <w:color w:val="auto"/>
          <w:spacing w:val="0"/>
          <w:sz w:val="32"/>
          <w:szCs w:val="32"/>
          <w:shd w:val="clear" w:color="auto" w:fill="FFFFFF"/>
        </w:rPr>
        <w:t>件，其中，</w:t>
      </w:r>
      <w:r>
        <w:rPr>
          <w:rFonts w:hint="default" w:ascii="Times New Roman" w:hAnsi="Times New Roman" w:eastAsia="仿宋" w:cs="Times New Roman"/>
          <w:i w:val="0"/>
          <w:caps w:val="0"/>
          <w:color w:val="auto"/>
          <w:spacing w:val="0"/>
          <w:sz w:val="32"/>
          <w:szCs w:val="32"/>
          <w:shd w:val="clear" w:color="auto" w:fill="FFFFFF"/>
          <w:lang w:eastAsia="zh-CN"/>
        </w:rPr>
        <w:t>主办市人大建议</w:t>
      </w:r>
      <w:r>
        <w:rPr>
          <w:rFonts w:hint="default" w:ascii="Times New Roman" w:hAnsi="Times New Roman" w:eastAsia="仿宋" w:cs="Times New Roman"/>
          <w:i w:val="0"/>
          <w:caps w:val="0"/>
          <w:color w:val="auto"/>
          <w:spacing w:val="0"/>
          <w:sz w:val="32"/>
          <w:szCs w:val="32"/>
          <w:shd w:val="clear" w:color="auto" w:fill="FFFFFF"/>
          <w:lang w:val="en-US" w:eastAsia="zh-CN"/>
        </w:rPr>
        <w:t>0件，协办市政协提案3件；主办区人大政协提案12件，协办区人大政协提案13件。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楷体" w:cs="Times New Roman"/>
          <w:b w:val="0"/>
          <w:bCs w:val="0"/>
          <w:i w:val="0"/>
          <w:caps w:val="0"/>
          <w:color w:val="auto"/>
          <w:spacing w:val="0"/>
          <w:sz w:val="32"/>
          <w:szCs w:val="32"/>
          <w:shd w:val="clear" w:color="auto" w:fill="FFFFFF"/>
          <w:lang w:val="en-US" w:eastAsia="zh-CN"/>
        </w:rPr>
        <w:t>（三）重点领域信息公开情况。</w:t>
      </w:r>
      <w:r>
        <w:rPr>
          <w:rFonts w:hint="default" w:ascii="Times New Roman" w:hAnsi="Times New Roman" w:eastAsia="仿宋" w:cs="Times New Roman"/>
          <w:i w:val="0"/>
          <w:caps w:val="0"/>
          <w:color w:val="auto"/>
          <w:spacing w:val="0"/>
          <w:sz w:val="32"/>
          <w:szCs w:val="32"/>
          <w:shd w:val="clear" w:color="auto" w:fill="FFFFFF"/>
          <w:lang w:val="en-US" w:eastAsia="zh-CN"/>
        </w:rPr>
        <w:t>2023年</w:t>
      </w:r>
      <w:r>
        <w:rPr>
          <w:rFonts w:hint="default" w:ascii="Times New Roman" w:hAnsi="Times New Roman" w:eastAsia="仿宋" w:cs="Times New Roman"/>
          <w:i w:val="0"/>
          <w:caps w:val="0"/>
          <w:color w:val="auto"/>
          <w:spacing w:val="0"/>
          <w:sz w:val="32"/>
          <w:szCs w:val="32"/>
          <w:shd w:val="clear" w:color="auto" w:fill="FFFFFF"/>
          <w:lang w:eastAsia="zh-CN"/>
        </w:rPr>
        <w:t>区城改局</w:t>
      </w:r>
      <w:r>
        <w:rPr>
          <w:rFonts w:hint="default" w:ascii="Times New Roman" w:hAnsi="Times New Roman" w:eastAsia="仿宋" w:cs="Times New Roman"/>
          <w:i w:val="0"/>
          <w:caps w:val="0"/>
          <w:color w:val="auto"/>
          <w:spacing w:val="0"/>
          <w:sz w:val="32"/>
          <w:szCs w:val="32"/>
          <w:shd w:val="clear" w:color="auto" w:fill="FFFFFF"/>
          <w:lang w:val="en-US" w:eastAsia="zh-CN"/>
        </w:rPr>
        <w:t>通过政府门户网站公开信息22条，涉及公开机构设置等基本信息1条，公开征地管理及房屋征收、补偿方案、土地招拍挂等重点领域信息19条，部门预决算信息2条。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 w:cs="Times New Roman"/>
          <w:i w:val="0"/>
          <w:caps w:val="0"/>
          <w:color w:val="auto"/>
          <w:spacing w:val="0"/>
          <w:sz w:val="32"/>
          <w:szCs w:val="32"/>
          <w:shd w:val="clear" w:color="auto" w:fill="FFFFFF"/>
          <w:lang w:val="en-US" w:eastAsia="zh-CN"/>
        </w:rPr>
      </w:pPr>
    </w:p>
    <w:p>
      <w:pPr>
        <w:pStyle w:val="2"/>
        <w:pageBreakBefore w:val="0"/>
        <w:kinsoku/>
        <w:overflowPunct/>
        <w:autoSpaceDE/>
        <w:autoSpaceDN/>
        <w:bidi w:val="0"/>
        <w:spacing w:line="560" w:lineRule="exact"/>
        <w:ind w:left="0" w:leftChars="0" w:right="0" w:rightChars="0"/>
        <w:jc w:val="right"/>
        <w:textAlignment w:val="auto"/>
        <w:rPr>
          <w:rFonts w:hint="default" w:ascii="Times New Roman" w:hAnsi="Times New Roman" w:eastAsia="方正仿宋_GBK" w:cs="Times New Roman"/>
          <w:b w:val="0"/>
          <w:bCs/>
          <w:i w:val="0"/>
          <w:caps w:val="0"/>
          <w:color w:val="333333"/>
          <w:spacing w:val="0"/>
          <w:sz w:val="32"/>
          <w:szCs w:val="32"/>
          <w:highlight w:val="yellow"/>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default" w:ascii="Times New Roman" w:hAnsi="Times New Roman" w:eastAsia="仿宋" w:cs="Times New Roman"/>
          <w:i w:val="0"/>
          <w:caps w:val="0"/>
          <w:color w:val="333333"/>
          <w:spacing w:val="0"/>
          <w:sz w:val="32"/>
          <w:szCs w:val="32"/>
          <w:shd w:val="clear" w:color="auto" w:fill="FFFFFF"/>
          <w:lang w:val="en-US" w:eastAsia="zh-CN"/>
        </w:rPr>
      </w:pPr>
      <w:r>
        <w:rPr>
          <w:rFonts w:hint="default" w:ascii="Times New Roman" w:hAnsi="Times New Roman" w:eastAsia="仿宋" w:cs="Times New Roman"/>
          <w:i w:val="0"/>
          <w:caps w:val="0"/>
          <w:color w:val="333333"/>
          <w:spacing w:val="0"/>
          <w:sz w:val="32"/>
          <w:szCs w:val="32"/>
          <w:shd w:val="clear" w:color="auto" w:fill="FFFFFF"/>
          <w:lang w:val="en-US" w:eastAsia="zh-CN"/>
        </w:rPr>
        <w:t>硚口区城区改造更新局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default" w:ascii="Times New Roman" w:hAnsi="Times New Roman" w:eastAsia="仿宋" w:cs="Times New Roman"/>
          <w:i w:val="0"/>
          <w:caps w:val="0"/>
          <w:color w:val="333333"/>
          <w:spacing w:val="0"/>
          <w:sz w:val="32"/>
          <w:szCs w:val="32"/>
          <w:shd w:val="clear" w:color="auto" w:fill="FFFFFF"/>
          <w:lang w:val="en-US" w:eastAsia="zh-CN"/>
        </w:rPr>
      </w:pPr>
      <w:r>
        <w:rPr>
          <w:rFonts w:hint="default" w:ascii="Times New Roman" w:hAnsi="Times New Roman" w:eastAsia="仿宋" w:cs="Times New Roman"/>
          <w:i w:val="0"/>
          <w:caps w:val="0"/>
          <w:color w:val="333333"/>
          <w:spacing w:val="0"/>
          <w:sz w:val="32"/>
          <w:szCs w:val="32"/>
          <w:shd w:val="clear" w:color="auto" w:fill="FFFFFF"/>
          <w:lang w:val="en-US" w:eastAsia="zh-CN"/>
        </w:rPr>
        <w:t>2024年1月</w:t>
      </w:r>
      <w:r>
        <w:rPr>
          <w:rFonts w:hint="eastAsia" w:ascii="Times New Roman" w:hAnsi="Times New Roman" w:eastAsia="仿宋" w:cs="Times New Roman"/>
          <w:i w:val="0"/>
          <w:caps w:val="0"/>
          <w:color w:val="333333"/>
          <w:spacing w:val="0"/>
          <w:sz w:val="32"/>
          <w:szCs w:val="32"/>
          <w:shd w:val="clear" w:color="auto" w:fill="FFFFFF"/>
          <w:lang w:val="en-US" w:eastAsia="zh-CN"/>
        </w:rPr>
        <w:t>22</w:t>
      </w:r>
      <w:r>
        <w:rPr>
          <w:rFonts w:hint="default" w:ascii="Times New Roman" w:hAnsi="Times New Roman" w:eastAsia="仿宋" w:cs="Times New Roman"/>
          <w:i w:val="0"/>
          <w:caps w:val="0"/>
          <w:color w:val="333333"/>
          <w:spacing w:val="0"/>
          <w:sz w:val="32"/>
          <w:szCs w:val="32"/>
          <w:shd w:val="clear" w:color="auto" w:fill="FFFFFF"/>
          <w:lang w:val="en-US" w:eastAsia="zh-CN"/>
        </w:rPr>
        <w:t>日</w:t>
      </w:r>
    </w:p>
    <w:sectPr>
      <w:pgSz w:w="11906" w:h="16838"/>
      <w:pgMar w:top="1587" w:right="1417" w:bottom="1417" w:left="1304"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151ABA-388B-451C-AA1F-065FA0DDBE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0CADC4E1-D9D9-4B72-A51E-2F8C16DE3CD4}"/>
  </w:font>
  <w:font w:name="方正仿宋_GBK">
    <w:panose1 w:val="03000509000000000000"/>
    <w:charset w:val="86"/>
    <w:family w:val="auto"/>
    <w:pitch w:val="default"/>
    <w:sig w:usb0="00000001" w:usb1="080E0000" w:usb2="00000000" w:usb3="00000000" w:csb0="00040000" w:csb1="00000000"/>
    <w:embedRegular r:id="rId3" w:fontKey="{15B57868-99CB-4D28-A068-FDFF23F901A6}"/>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embedRegular r:id="rId4" w:fontKey="{A58FB2AA-AF4F-4A2E-8B6E-79D5B382B4B1}"/>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A456"/>
    <w:multiLevelType w:val="singleLevel"/>
    <w:tmpl w:val="659FA45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DllOTAyNjdiZjI3MTY2NThiYjQ0MzU5OGE2NDEifQ=="/>
  </w:docVars>
  <w:rsids>
    <w:rsidRoot w:val="238B1E27"/>
    <w:rsid w:val="096A2D58"/>
    <w:rsid w:val="0AEA2461"/>
    <w:rsid w:val="0B1E2C0B"/>
    <w:rsid w:val="0ED53218"/>
    <w:rsid w:val="1CB1720D"/>
    <w:rsid w:val="1DC22B81"/>
    <w:rsid w:val="1ED17A3F"/>
    <w:rsid w:val="20BB4801"/>
    <w:rsid w:val="238B1E27"/>
    <w:rsid w:val="23D80E9B"/>
    <w:rsid w:val="246E2621"/>
    <w:rsid w:val="27A504B9"/>
    <w:rsid w:val="2D274AF4"/>
    <w:rsid w:val="31DE4A85"/>
    <w:rsid w:val="34A32FA9"/>
    <w:rsid w:val="35552B8B"/>
    <w:rsid w:val="36534E09"/>
    <w:rsid w:val="380214FF"/>
    <w:rsid w:val="39526B7C"/>
    <w:rsid w:val="397119C0"/>
    <w:rsid w:val="3DEB24C5"/>
    <w:rsid w:val="45EF3B21"/>
    <w:rsid w:val="473C0CB4"/>
    <w:rsid w:val="53F74EC8"/>
    <w:rsid w:val="53F94E1B"/>
    <w:rsid w:val="565407E9"/>
    <w:rsid w:val="5C510C3D"/>
    <w:rsid w:val="656A6D5F"/>
    <w:rsid w:val="661066D4"/>
    <w:rsid w:val="6B833A75"/>
    <w:rsid w:val="6C1E01F2"/>
    <w:rsid w:val="6E474A6C"/>
    <w:rsid w:val="6EEA2A6C"/>
    <w:rsid w:val="74A74026"/>
    <w:rsid w:val="79FB1236"/>
    <w:rsid w:val="7CAE1862"/>
    <w:rsid w:val="7FC0413B"/>
    <w:rsid w:val="FF5A9C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555555"/>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555555"/>
      <w:u w:val="none"/>
    </w:rPr>
  </w:style>
  <w:style w:type="character" w:styleId="11">
    <w:name w:val="HTML Code"/>
    <w:basedOn w:val="4"/>
    <w:qFormat/>
    <w:uiPriority w:val="0"/>
    <w:rPr>
      <w:rFonts w:ascii="Menlo" w:hAnsi="Menlo" w:eastAsia="Menlo" w:cs="Menlo"/>
      <w:color w:val="C7254E"/>
      <w:sz w:val="21"/>
      <w:szCs w:val="21"/>
      <w:shd w:val="clear" w:fill="F9F2F4"/>
    </w:rPr>
  </w:style>
  <w:style w:type="character" w:styleId="12">
    <w:name w:val="HTML Cite"/>
    <w:basedOn w:val="4"/>
    <w:qFormat/>
    <w:uiPriority w:val="0"/>
  </w:style>
  <w:style w:type="character" w:styleId="13">
    <w:name w:val="HTML Keyboard"/>
    <w:basedOn w:val="4"/>
    <w:qFormat/>
    <w:uiPriority w:val="0"/>
    <w:rPr>
      <w:rFonts w:hint="default" w:ascii="Menlo" w:hAnsi="Menlo" w:eastAsia="Menlo" w:cs="Menlo"/>
      <w:color w:val="FFFFFF"/>
      <w:sz w:val="21"/>
      <w:szCs w:val="21"/>
      <w:shd w:val="clear" w:fill="333333"/>
    </w:rPr>
  </w:style>
  <w:style w:type="character" w:styleId="14">
    <w:name w:val="HTML Sample"/>
    <w:basedOn w:val="4"/>
    <w:qFormat/>
    <w:uiPriority w:val="0"/>
    <w:rPr>
      <w:rFonts w:hint="default" w:ascii="Menlo" w:hAnsi="Menlo" w:eastAsia="Menlo" w:cs="Menlo"/>
      <w:sz w:val="21"/>
      <w:szCs w:val="21"/>
    </w:rPr>
  </w:style>
  <w:style w:type="character" w:customStyle="1" w:styleId="16">
    <w:name w:val="before"/>
    <w:basedOn w:val="4"/>
    <w:qFormat/>
    <w:uiPriority w:val="0"/>
  </w:style>
  <w:style w:type="character" w:customStyle="1" w:styleId="17">
    <w:name w:val="before1"/>
    <w:basedOn w:val="4"/>
    <w:qFormat/>
    <w:uiPriority w:val="0"/>
  </w:style>
  <w:style w:type="character" w:customStyle="1" w:styleId="18">
    <w:name w:val="hover36"/>
    <w:basedOn w:val="4"/>
    <w:qFormat/>
    <w:uiPriority w:val="0"/>
    <w:rPr>
      <w:color w:val="2285E7"/>
    </w:rPr>
  </w:style>
  <w:style w:type="character" w:customStyle="1" w:styleId="19">
    <w:name w:val="hover37"/>
    <w:basedOn w:val="4"/>
    <w:qFormat/>
    <w:uiPriority w:val="0"/>
    <w:rPr>
      <w:color w:val="2285E7"/>
    </w:rPr>
  </w:style>
  <w:style w:type="character" w:customStyle="1" w:styleId="20">
    <w:name w:val="hover38"/>
    <w:basedOn w:val="4"/>
    <w:qFormat/>
    <w:uiPriority w:val="0"/>
    <w:rPr>
      <w:color w:val="2285E7"/>
    </w:rPr>
  </w:style>
  <w:style w:type="character" w:customStyle="1" w:styleId="21">
    <w:name w:val="plus"/>
    <w:basedOn w:val="4"/>
    <w:qFormat/>
    <w:uiPriority w:val="0"/>
  </w:style>
  <w:style w:type="character" w:customStyle="1" w:styleId="22">
    <w:name w:val="after5"/>
    <w:basedOn w:val="4"/>
    <w:qFormat/>
    <w:uiPriority w:val="0"/>
  </w:style>
  <w:style w:type="character" w:customStyle="1" w:styleId="23">
    <w:name w:val="layui-this"/>
    <w:basedOn w:val="4"/>
    <w:qFormat/>
    <w:uiPriority w:val="0"/>
    <w:rPr>
      <w:bdr w:val="single" w:color="EEEEEE" w:sz="6" w:space="0"/>
      <w:shd w:val="clear" w:fill="FFFFFF"/>
    </w:rPr>
  </w:style>
  <w:style w:type="character" w:customStyle="1" w:styleId="24">
    <w:name w:val="first-child"/>
    <w:basedOn w:val="4"/>
    <w:qFormat/>
    <w:uiPriority w:val="0"/>
  </w:style>
  <w:style w:type="character" w:customStyle="1" w:styleId="25">
    <w:name w:val="wx"/>
    <w:basedOn w:val="4"/>
    <w:qFormat/>
    <w:uiPriority w:val="0"/>
    <w:rPr>
      <w:vanish/>
    </w:rPr>
  </w:style>
  <w:style w:type="character" w:customStyle="1" w:styleId="26">
    <w:name w:val="wx1"/>
    <w:basedOn w:val="4"/>
    <w:qFormat/>
    <w:uiPriority w:val="0"/>
  </w:style>
  <w:style w:type="character" w:customStyle="1" w:styleId="27">
    <w:name w:val="hover11"/>
    <w:basedOn w:val="4"/>
    <w:qFormat/>
    <w:uiPriority w:val="0"/>
    <w:rPr>
      <w:color w:val="FFFFFF"/>
      <w:shd w:val="clear" w:fill="205BBB"/>
    </w:rPr>
  </w:style>
  <w:style w:type="character" w:customStyle="1" w:styleId="28">
    <w:name w:val="input-bitian"/>
    <w:basedOn w:val="4"/>
    <w:qFormat/>
    <w:uiPriority w:val="0"/>
    <w:rPr>
      <w:color w:val="F0002D"/>
      <w:sz w:val="18"/>
      <w:szCs w:val="18"/>
    </w:rPr>
  </w:style>
  <w:style w:type="character" w:customStyle="1" w:styleId="29">
    <w:name w:val="current11"/>
    <w:basedOn w:val="4"/>
    <w:qFormat/>
    <w:uiPriority w:val="0"/>
    <w:rPr>
      <w:color w:val="FFFFFF"/>
      <w:shd w:val="clear" w:fill="205BBB"/>
    </w:rPr>
  </w:style>
  <w:style w:type="character" w:customStyle="1" w:styleId="30">
    <w:name w:val="current12"/>
    <w:basedOn w:val="4"/>
    <w:qFormat/>
    <w:uiPriority w:val="0"/>
    <w:rPr>
      <w:color w:val="FFFFFF"/>
      <w:bdr w:val="single" w:color="3090F1" w:sz="6" w:space="0"/>
      <w:shd w:val="clear" w:fill="3090F1"/>
    </w:rPr>
  </w:style>
  <w:style w:type="character" w:customStyle="1" w:styleId="31">
    <w:name w:val="nth-child(1)"/>
    <w:basedOn w:val="4"/>
    <w:qFormat/>
    <w:uiPriority w:val="0"/>
  </w:style>
  <w:style w:type="character" w:customStyle="1" w:styleId="32">
    <w:name w:val="nth-child(1)1"/>
    <w:basedOn w:val="4"/>
    <w:qFormat/>
    <w:uiPriority w:val="0"/>
  </w:style>
  <w:style w:type="character" w:customStyle="1" w:styleId="33">
    <w:name w:val="nth-child(2)"/>
    <w:basedOn w:val="4"/>
    <w:qFormat/>
    <w:uiPriority w:val="0"/>
  </w:style>
  <w:style w:type="character" w:customStyle="1" w:styleId="34">
    <w:name w:val="nth-child(2)1"/>
    <w:basedOn w:val="4"/>
    <w:qFormat/>
    <w:uiPriority w:val="0"/>
  </w:style>
  <w:style w:type="character" w:customStyle="1" w:styleId="35">
    <w:name w:val="nth-child(3)"/>
    <w:basedOn w:val="4"/>
    <w:qFormat/>
    <w:uiPriority w:val="0"/>
  </w:style>
  <w:style w:type="character" w:customStyle="1" w:styleId="36">
    <w:name w:val="detail"/>
    <w:basedOn w:val="4"/>
    <w:qFormat/>
    <w:uiPriority w:val="0"/>
    <w:rPr>
      <w:color w:val="E3482E"/>
      <w:sz w:val="22"/>
      <w:szCs w:val="22"/>
    </w:rPr>
  </w:style>
  <w:style w:type="character" w:customStyle="1" w:styleId="37">
    <w:name w:val="input-bitian4"/>
    <w:basedOn w:val="4"/>
    <w:qFormat/>
    <w:uiPriority w:val="0"/>
    <w:rPr>
      <w:color w:val="F0002D"/>
      <w:sz w:val="18"/>
      <w:szCs w:val="18"/>
    </w:rPr>
  </w:style>
  <w:style w:type="character" w:customStyle="1" w:styleId="38">
    <w:name w:val="current"/>
    <w:basedOn w:val="4"/>
    <w:qFormat/>
    <w:uiPriority w:val="0"/>
    <w:rPr>
      <w:color w:val="FFFFFF"/>
      <w:shd w:val="clear" w:fill="205BBB"/>
    </w:rPr>
  </w:style>
  <w:style w:type="character" w:customStyle="1" w:styleId="39">
    <w:name w:val="current1"/>
    <w:basedOn w:val="4"/>
    <w:qFormat/>
    <w:uiPriority w:val="0"/>
    <w:rPr>
      <w:color w:val="FFFFFF"/>
      <w:bdr w:val="single" w:color="3090F1" w:sz="6" w:space="0"/>
      <w:shd w:val="clear" w:fill="3090F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2494</Words>
  <Characters>2592</Characters>
  <Lines>0</Lines>
  <Paragraphs>0</Paragraphs>
  <ScaleCrop>false</ScaleCrop>
  <LinksUpToDate>false</LinksUpToDate>
  <CharactersWithSpaces>2731</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Administrator</cp:lastModifiedBy>
  <cp:lastPrinted>2024-01-17T01:54:00Z</cp:lastPrinted>
  <dcterms:modified xsi:type="dcterms:W3CDTF">2024-01-22T08:11:44Z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777F53E91E564B3B96F5A1A435D08748</vt:lpwstr>
  </property>
</Properties>
</file>