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A2C" w:rsidRDefault="00EF50DF">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硚口区地方金融工作局</w:t>
      </w:r>
      <w:r>
        <w:rPr>
          <w:rFonts w:ascii="宋体" w:eastAsia="宋体" w:hAnsi="宋体" w:cs="宋体" w:hint="eastAsia"/>
          <w:b/>
          <w:bCs/>
          <w:sz w:val="44"/>
          <w:szCs w:val="44"/>
        </w:rPr>
        <w:t>2023</w:t>
      </w:r>
      <w:r>
        <w:rPr>
          <w:rFonts w:ascii="宋体" w:eastAsia="宋体" w:hAnsi="宋体" w:cs="宋体" w:hint="eastAsia"/>
          <w:b/>
          <w:bCs/>
          <w:sz w:val="44"/>
          <w:szCs w:val="44"/>
        </w:rPr>
        <w:t>年政府信息公开工作年度报告</w:t>
      </w:r>
    </w:p>
    <w:p w:rsidR="00490A2C" w:rsidRDefault="00490A2C">
      <w:pPr>
        <w:spacing w:line="560" w:lineRule="exact"/>
        <w:jc w:val="center"/>
        <w:rPr>
          <w:rFonts w:ascii="宋体" w:eastAsia="宋体" w:hAnsi="宋体" w:cs="宋体"/>
          <w:b/>
          <w:bCs/>
          <w:sz w:val="44"/>
          <w:szCs w:val="44"/>
        </w:rPr>
      </w:pPr>
    </w:p>
    <w:p w:rsidR="00490A2C" w:rsidRDefault="00EF50DF">
      <w:pPr>
        <w:keepNext/>
        <w:widowControl/>
        <w:wordWrap w:val="0"/>
        <w:topLinePunct/>
        <w:adjustRightInd w:val="0"/>
        <w:snapToGrid w:val="0"/>
        <w:spacing w:line="560" w:lineRule="exact"/>
        <w:ind w:firstLineChars="200" w:firstLine="640"/>
        <w:rPr>
          <w:rFonts w:ascii="黑体" w:eastAsia="黑体" w:hAnsi="黑体" w:cs="黑体"/>
          <w:color w:val="333333"/>
          <w:sz w:val="32"/>
          <w:szCs w:val="32"/>
          <w:highlight w:val="yellow"/>
        </w:rPr>
      </w:pPr>
      <w:r>
        <w:rPr>
          <w:rFonts w:ascii="Times New Roman" w:eastAsia="仿宋_GB2312" w:hAnsi="Times New Roman" w:cs="仿宋_GB2312" w:hint="eastAsia"/>
          <w:kern w:val="0"/>
          <w:sz w:val="32"/>
          <w:szCs w:val="32"/>
          <w:lang w:bidi="ar"/>
        </w:rPr>
        <w:t>依据《中华人民共和国政府信息公开条例》（以下简称《政府信息公开条例》）第五十条和《关于印发中华人民共和国政府信息公开工作年度报告格式的通知》（国办公</w:t>
      </w:r>
      <w:r>
        <w:rPr>
          <w:rFonts w:ascii="仿宋" w:eastAsia="仿宋" w:hAnsi="仿宋" w:cs="仿宋" w:hint="eastAsia"/>
          <w:kern w:val="0"/>
          <w:sz w:val="32"/>
          <w:szCs w:val="32"/>
          <w:lang w:bidi="ar"/>
        </w:rPr>
        <w:t>开办函〔</w:t>
      </w:r>
      <w:r>
        <w:rPr>
          <w:rFonts w:ascii="仿宋" w:eastAsia="仿宋" w:hAnsi="仿宋" w:cs="仿宋" w:hint="eastAsia"/>
          <w:kern w:val="0"/>
          <w:sz w:val="32"/>
          <w:szCs w:val="32"/>
          <w:lang w:bidi="ar"/>
        </w:rPr>
        <w:t>2021</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30</w:t>
      </w:r>
      <w:r>
        <w:rPr>
          <w:rFonts w:ascii="仿宋" w:eastAsia="仿宋" w:hAnsi="仿宋" w:cs="仿宋" w:hint="eastAsia"/>
          <w:kern w:val="0"/>
          <w:sz w:val="32"/>
          <w:szCs w:val="32"/>
          <w:lang w:bidi="ar"/>
        </w:rPr>
        <w:t>号）规定，编制本报告。本年度报告全文包括：总体情况、主动公开政府信息情况、收到和处理政府信息公开申请情况、政府信息公开行政复议、行政诉讼情况、存在的主要问题及改进情况、其他需要报告的事项。所列统计数据时间范围为</w:t>
      </w:r>
      <w:r>
        <w:rPr>
          <w:rFonts w:ascii="仿宋" w:eastAsia="仿宋" w:hAnsi="仿宋" w:cs="仿宋" w:hint="eastAsia"/>
          <w:kern w:val="0"/>
          <w:sz w:val="32"/>
          <w:szCs w:val="32"/>
          <w:lang w:bidi="ar"/>
        </w:rPr>
        <w:t>2023</w:t>
      </w:r>
      <w:r>
        <w:rPr>
          <w:rFonts w:ascii="仿宋" w:eastAsia="仿宋" w:hAnsi="仿宋" w:cs="仿宋" w:hint="eastAsia"/>
          <w:kern w:val="0"/>
          <w:sz w:val="32"/>
          <w:szCs w:val="32"/>
          <w:lang w:bidi="ar"/>
        </w:rPr>
        <w:t>年</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月</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日至</w:t>
      </w:r>
      <w:r>
        <w:rPr>
          <w:rFonts w:ascii="仿宋" w:eastAsia="仿宋" w:hAnsi="仿宋" w:cs="仿宋" w:hint="eastAsia"/>
          <w:kern w:val="0"/>
          <w:sz w:val="32"/>
          <w:szCs w:val="32"/>
          <w:lang w:bidi="ar"/>
        </w:rPr>
        <w:t>2023</w:t>
      </w:r>
      <w:r>
        <w:rPr>
          <w:rFonts w:ascii="仿宋" w:eastAsia="仿宋" w:hAnsi="仿宋" w:cs="仿宋" w:hint="eastAsia"/>
          <w:kern w:val="0"/>
          <w:sz w:val="32"/>
          <w:szCs w:val="32"/>
          <w:lang w:bidi="ar"/>
        </w:rPr>
        <w:t>年</w:t>
      </w:r>
      <w:r>
        <w:rPr>
          <w:rFonts w:ascii="仿宋" w:eastAsia="仿宋" w:hAnsi="仿宋" w:cs="仿宋" w:hint="eastAsia"/>
          <w:kern w:val="0"/>
          <w:sz w:val="32"/>
          <w:szCs w:val="32"/>
          <w:lang w:bidi="ar"/>
        </w:rPr>
        <w:t>12</w:t>
      </w:r>
      <w:r>
        <w:rPr>
          <w:rFonts w:ascii="仿宋" w:eastAsia="仿宋" w:hAnsi="仿宋" w:cs="仿宋" w:hint="eastAsia"/>
          <w:kern w:val="0"/>
          <w:sz w:val="32"/>
          <w:szCs w:val="32"/>
          <w:lang w:bidi="ar"/>
        </w:rPr>
        <w:t>月</w:t>
      </w:r>
      <w:r>
        <w:rPr>
          <w:rFonts w:ascii="仿宋" w:eastAsia="仿宋" w:hAnsi="仿宋" w:cs="仿宋" w:hint="eastAsia"/>
          <w:kern w:val="0"/>
          <w:sz w:val="32"/>
          <w:szCs w:val="32"/>
          <w:lang w:bidi="ar"/>
        </w:rPr>
        <w:t>31</w:t>
      </w:r>
      <w:r>
        <w:rPr>
          <w:rFonts w:ascii="仿宋" w:eastAsia="仿宋" w:hAnsi="仿宋" w:cs="仿宋" w:hint="eastAsia"/>
          <w:kern w:val="0"/>
          <w:sz w:val="32"/>
          <w:szCs w:val="32"/>
          <w:lang w:bidi="ar"/>
        </w:rPr>
        <w:t>日。如本报告有疑问，请联系：硚口区地方金融工作局，地址：硚口区中山大道</w:t>
      </w:r>
      <w:r>
        <w:rPr>
          <w:rFonts w:ascii="仿宋" w:eastAsia="仿宋" w:hAnsi="仿宋" w:cs="仿宋" w:hint="eastAsia"/>
          <w:kern w:val="0"/>
          <w:sz w:val="32"/>
          <w:szCs w:val="32"/>
          <w:lang w:bidi="ar"/>
        </w:rPr>
        <w:t>51</w:t>
      </w:r>
      <w:r>
        <w:rPr>
          <w:rFonts w:ascii="仿宋" w:eastAsia="仿宋" w:hAnsi="仿宋" w:cs="仿宋" w:hint="eastAsia"/>
          <w:kern w:val="0"/>
          <w:sz w:val="32"/>
          <w:szCs w:val="32"/>
          <w:lang w:bidi="ar"/>
        </w:rPr>
        <w:t>号，电话：</w:t>
      </w:r>
      <w:r>
        <w:rPr>
          <w:rFonts w:ascii="仿宋" w:eastAsia="仿宋" w:hAnsi="仿宋" w:cs="仿宋" w:hint="eastAsia"/>
          <w:kern w:val="0"/>
          <w:sz w:val="32"/>
          <w:szCs w:val="32"/>
          <w:lang w:bidi="ar"/>
        </w:rPr>
        <w:t>027-83790186</w:t>
      </w:r>
      <w:r>
        <w:rPr>
          <w:rFonts w:ascii="仿宋" w:eastAsia="仿宋" w:hAnsi="仿宋" w:cs="仿宋" w:hint="eastAsia"/>
          <w:kern w:val="0"/>
          <w:sz w:val="32"/>
          <w:szCs w:val="32"/>
          <w:lang w:bidi="ar"/>
        </w:rPr>
        <w:t>。</w:t>
      </w:r>
    </w:p>
    <w:p w:rsidR="00490A2C" w:rsidRDefault="00EF50DF">
      <w:pPr>
        <w:pStyle w:val="a3"/>
        <w:widowControl/>
        <w:adjustRightInd w:val="0"/>
        <w:snapToGrid w:val="0"/>
        <w:spacing w:line="560" w:lineRule="atLeast"/>
        <w:ind w:firstLineChars="200" w:firstLine="640"/>
        <w:jc w:val="both"/>
        <w:rPr>
          <w:rFonts w:ascii="黑体" w:eastAsia="黑体" w:hAnsi="黑体" w:cs="黑体"/>
          <w:sz w:val="32"/>
          <w:szCs w:val="32"/>
        </w:rPr>
      </w:pPr>
      <w:r>
        <w:rPr>
          <w:rFonts w:ascii="黑体" w:eastAsia="黑体" w:hAnsi="黑体" w:cs="黑体" w:hint="eastAsia"/>
          <w:color w:val="333333"/>
          <w:sz w:val="32"/>
          <w:szCs w:val="32"/>
        </w:rPr>
        <w:t>一、总体情况</w:t>
      </w:r>
    </w:p>
    <w:p w:rsidR="00490A2C" w:rsidRDefault="00EF50DF">
      <w:pPr>
        <w:widowControl/>
        <w:spacing w:line="56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2023</w:t>
      </w:r>
      <w:r>
        <w:rPr>
          <w:rFonts w:ascii="仿宋" w:eastAsia="仿宋" w:hAnsi="仿宋" w:cs="仿宋" w:hint="eastAsia"/>
          <w:kern w:val="0"/>
          <w:sz w:val="32"/>
          <w:szCs w:val="32"/>
          <w:lang w:bidi="ar"/>
        </w:rPr>
        <w:t>年，在区委、区政府的正确领导下，坚持以习近平新时代中国特色社会主义思想为指导，全面贯彻党的二十大精神，认真</w:t>
      </w:r>
      <w:r>
        <w:rPr>
          <w:rFonts w:ascii="仿宋" w:eastAsia="仿宋" w:hAnsi="仿宋" w:cs="仿宋" w:hint="eastAsia"/>
          <w:kern w:val="0"/>
          <w:sz w:val="32"/>
          <w:szCs w:val="32"/>
          <w:lang w:bidi="ar"/>
        </w:rPr>
        <w:t>贯彻落实《中华人民共和国政府信息公开条例》和省、市、区工作部署要求。</w:t>
      </w:r>
    </w:p>
    <w:p w:rsidR="00490A2C" w:rsidRDefault="00EF50DF">
      <w:pPr>
        <w:pStyle w:val="a3"/>
        <w:widowControl/>
        <w:spacing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（一）政府信息主动公开情况</w:t>
      </w:r>
    </w:p>
    <w:p w:rsidR="00490A2C" w:rsidRDefault="00EF50DF">
      <w:pPr>
        <w:pStyle w:val="a3"/>
        <w:widowControl/>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按照相关工作要求，细化机构职能。在门户网站原“机构职能”外继续完善“领导成员及分工”、“内设机构”等两个子栏目。</w:t>
      </w:r>
    </w:p>
    <w:p w:rsidR="00490A2C" w:rsidRDefault="00EF50DF">
      <w:pPr>
        <w:pStyle w:val="a3"/>
        <w:widowControl/>
        <w:spacing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（二）政府信息依申请公开情况</w:t>
      </w:r>
    </w:p>
    <w:p w:rsidR="00490A2C" w:rsidRDefault="00EF50DF">
      <w:pPr>
        <w:pStyle w:val="a3"/>
        <w:widowControl/>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年，区地方金融工作局新收到依申请公开政府信息</w:t>
      </w:r>
      <w:r>
        <w:rPr>
          <w:rFonts w:ascii="仿宋" w:eastAsia="仿宋" w:hAnsi="仿宋" w:cs="仿宋" w:hint="eastAsia"/>
          <w:sz w:val="32"/>
          <w:szCs w:val="32"/>
        </w:rPr>
        <w:t>0</w:t>
      </w:r>
      <w:r>
        <w:rPr>
          <w:rFonts w:ascii="仿宋" w:eastAsia="仿宋" w:hAnsi="仿宋" w:cs="仿宋" w:hint="eastAsia"/>
          <w:sz w:val="32"/>
          <w:szCs w:val="32"/>
        </w:rPr>
        <w:t>件，上年结转申请</w:t>
      </w:r>
      <w:r>
        <w:rPr>
          <w:rFonts w:ascii="仿宋" w:eastAsia="仿宋" w:hAnsi="仿宋" w:cs="仿宋" w:hint="eastAsia"/>
          <w:sz w:val="32"/>
          <w:szCs w:val="32"/>
        </w:rPr>
        <w:t>0</w:t>
      </w:r>
      <w:r>
        <w:rPr>
          <w:rFonts w:ascii="仿宋" w:eastAsia="仿宋" w:hAnsi="仿宋" w:cs="仿宋" w:hint="eastAsia"/>
          <w:sz w:val="32"/>
          <w:szCs w:val="32"/>
        </w:rPr>
        <w:t>件，结转下年度继续办理</w:t>
      </w:r>
      <w:r>
        <w:rPr>
          <w:rFonts w:ascii="仿宋" w:eastAsia="仿宋" w:hAnsi="仿宋" w:cs="仿宋" w:hint="eastAsia"/>
          <w:sz w:val="32"/>
          <w:szCs w:val="32"/>
        </w:rPr>
        <w:t>0</w:t>
      </w:r>
      <w:r>
        <w:rPr>
          <w:rFonts w:ascii="仿宋" w:eastAsia="仿宋" w:hAnsi="仿宋" w:cs="仿宋" w:hint="eastAsia"/>
          <w:sz w:val="32"/>
          <w:szCs w:val="32"/>
        </w:rPr>
        <w:t>件。</w:t>
      </w:r>
    </w:p>
    <w:p w:rsidR="00490A2C" w:rsidRDefault="00EF50DF">
      <w:pPr>
        <w:pStyle w:val="a3"/>
        <w:widowControl/>
        <w:spacing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lastRenderedPageBreak/>
        <w:t>（三）政府信息管理情况</w:t>
      </w:r>
    </w:p>
    <w:p w:rsidR="00490A2C" w:rsidRDefault="00EF50DF">
      <w:pPr>
        <w:ind w:firstLineChars="200" w:firstLine="640"/>
        <w:rPr>
          <w:rFonts w:ascii="仿宋" w:eastAsia="仿宋" w:hAnsi="仿宋" w:cs="仿宋"/>
          <w:sz w:val="32"/>
          <w:szCs w:val="32"/>
        </w:rPr>
      </w:pPr>
      <w:r>
        <w:rPr>
          <w:rFonts w:ascii="仿宋" w:eastAsia="仿宋" w:hAnsi="仿宋" w:cs="仿宋" w:hint="eastAsia"/>
          <w:sz w:val="32"/>
          <w:szCs w:val="32"/>
        </w:rPr>
        <w:t>建立信息发布审核机制，安排专人负责政府信息管理公开工作。按照“涉密信息不上网，上网信息不涉密”的原则，落实政府信息公开事宜，严抓发布前审核、发布后更新及文件有效性管理。积极开展政府文件公开属性和有效性的评估调整工作。</w:t>
      </w:r>
    </w:p>
    <w:p w:rsidR="00490A2C" w:rsidRDefault="00EF50DF">
      <w:pPr>
        <w:pStyle w:val="a3"/>
        <w:widowControl/>
        <w:spacing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（四）政府信息公开平台建设情况</w:t>
      </w:r>
    </w:p>
    <w:p w:rsidR="00490A2C" w:rsidRDefault="00EF50DF">
      <w:pPr>
        <w:ind w:firstLineChars="200" w:firstLine="640"/>
        <w:rPr>
          <w:rFonts w:ascii="仿宋" w:eastAsia="仿宋" w:hAnsi="仿宋" w:cs="仿宋"/>
          <w:sz w:val="32"/>
          <w:szCs w:val="32"/>
        </w:rPr>
      </w:pPr>
      <w:r>
        <w:rPr>
          <w:rFonts w:ascii="仿宋" w:eastAsia="仿宋" w:hAnsi="仿宋" w:cs="仿宋" w:hint="eastAsia"/>
          <w:sz w:val="32"/>
          <w:szCs w:val="32"/>
        </w:rPr>
        <w:t>根据《中华人民共和国政府信息公开条例》及相关文件要求，进一步细化了政府信息公开内容。</w:t>
      </w:r>
    </w:p>
    <w:p w:rsidR="00490A2C" w:rsidRDefault="00EF50DF">
      <w:pPr>
        <w:pStyle w:val="a3"/>
        <w:widowControl/>
        <w:spacing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（五）监督保障情况</w:t>
      </w:r>
    </w:p>
    <w:p w:rsidR="00490A2C" w:rsidRDefault="00EF50DF">
      <w:pPr>
        <w:ind w:firstLine="640"/>
        <w:rPr>
          <w:rFonts w:ascii="仿宋" w:eastAsia="仿宋" w:hAnsi="仿宋" w:cs="仿宋"/>
          <w:sz w:val="32"/>
          <w:szCs w:val="32"/>
          <w:highlight w:val="yellow"/>
        </w:rPr>
      </w:pPr>
      <w:r>
        <w:rPr>
          <w:rFonts w:ascii="仿宋" w:eastAsia="仿宋" w:hAnsi="仿宋" w:cs="仿宋" w:hint="eastAsia"/>
          <w:sz w:val="32"/>
          <w:szCs w:val="32"/>
        </w:rPr>
        <w:t>加强政府信息公开审核力度，严格执行信息发布审核机制，全面落实监督岗位责任，确保信息更新及时、表达准确</w:t>
      </w:r>
      <w:r>
        <w:rPr>
          <w:rFonts w:ascii="仿宋" w:eastAsia="仿宋" w:hAnsi="仿宋" w:cs="仿宋" w:hint="eastAsia"/>
          <w:sz w:val="32"/>
          <w:szCs w:val="32"/>
        </w:rPr>
        <w:t>，</w:t>
      </w:r>
      <w:r>
        <w:rPr>
          <w:rFonts w:ascii="仿宋" w:eastAsia="仿宋" w:hAnsi="仿宋" w:cs="仿宋" w:hint="eastAsia"/>
          <w:sz w:val="32"/>
          <w:szCs w:val="32"/>
        </w:rPr>
        <w:t>形成政府信息公开工作的有效监督机制。</w:t>
      </w:r>
      <w:r>
        <w:rPr>
          <w:rFonts w:ascii="仿宋" w:eastAsia="仿宋" w:hAnsi="仿宋" w:cs="仿宋" w:hint="eastAsia"/>
          <w:kern w:val="0"/>
          <w:sz w:val="32"/>
          <w:szCs w:val="32"/>
        </w:rPr>
        <w:t>2023</w:t>
      </w:r>
      <w:r>
        <w:rPr>
          <w:rFonts w:ascii="仿宋" w:eastAsia="仿宋" w:hAnsi="仿宋" w:cs="仿宋" w:hint="eastAsia"/>
          <w:kern w:val="0"/>
          <w:sz w:val="32"/>
          <w:szCs w:val="32"/>
        </w:rPr>
        <w:t>年度，我局</w:t>
      </w:r>
      <w:r>
        <w:rPr>
          <w:rFonts w:ascii="仿宋" w:eastAsia="仿宋" w:hAnsi="仿宋" w:cs="仿宋" w:hint="eastAsia"/>
          <w:kern w:val="0"/>
          <w:sz w:val="32"/>
          <w:szCs w:val="32"/>
        </w:rPr>
        <w:t>及相关个人未因政务公开被责任追究。</w:t>
      </w:r>
    </w:p>
    <w:p w:rsidR="00490A2C" w:rsidRDefault="00EF50DF">
      <w:pPr>
        <w:pStyle w:val="a3"/>
        <w:widowControl/>
        <w:adjustRightInd w:val="0"/>
        <w:snapToGrid w:val="0"/>
        <w:spacing w:line="560" w:lineRule="atLeas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二、主动公开政府信息情况</w:t>
      </w:r>
    </w:p>
    <w:p w:rsidR="00490A2C" w:rsidRDefault="00EF50DF">
      <w:pPr>
        <w:pStyle w:val="a3"/>
        <w:widowControl/>
        <w:spacing w:line="560" w:lineRule="exact"/>
        <w:ind w:firstLineChars="200" w:firstLine="640"/>
        <w:jc w:val="both"/>
        <w:rPr>
          <w:rFonts w:ascii="仿宋" w:eastAsia="仿宋" w:hAnsi="仿宋" w:cs="仿宋"/>
          <w:color w:val="333333"/>
          <w:sz w:val="32"/>
          <w:szCs w:val="32"/>
        </w:rPr>
      </w:pPr>
      <w:r>
        <w:rPr>
          <w:rFonts w:ascii="仿宋" w:eastAsia="仿宋" w:hAnsi="仿宋" w:cs="仿宋" w:hint="eastAsia"/>
          <w:sz w:val="32"/>
          <w:szCs w:val="32"/>
        </w:rPr>
        <w:t>按照“公开为原则，不公开为例外”的要求，明确专人收集整理、报送信息，把信息发布和管理的各项工作落到实处。</w:t>
      </w:r>
    </w:p>
    <w:tbl>
      <w:tblPr>
        <w:tblW w:w="5000" w:type="pct"/>
        <w:jc w:val="center"/>
        <w:tblCellMar>
          <w:left w:w="0" w:type="dxa"/>
          <w:right w:w="0" w:type="dxa"/>
        </w:tblCellMar>
        <w:tblLook w:val="04A0" w:firstRow="1" w:lastRow="0" w:firstColumn="1" w:lastColumn="0" w:noHBand="0" w:noVBand="1"/>
      </w:tblPr>
      <w:tblGrid>
        <w:gridCol w:w="2283"/>
        <w:gridCol w:w="2282"/>
        <w:gridCol w:w="2282"/>
        <w:gridCol w:w="2282"/>
      </w:tblGrid>
      <w:tr w:rsidR="00490A2C">
        <w:trPr>
          <w:trHeight w:val="340"/>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第二十条第（一）项</w:t>
            </w:r>
          </w:p>
        </w:tc>
      </w:tr>
      <w:tr w:rsidR="00490A2C">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信息内容</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本年</w:t>
            </w:r>
            <w:r>
              <w:rPr>
                <w:rFonts w:ascii="宋体" w:eastAsia="宋体" w:hAnsi="宋体" w:cs="宋体" w:hint="eastAsia"/>
                <w:color w:val="333333"/>
                <w:kern w:val="0"/>
                <w:szCs w:val="21"/>
                <w:lang w:bidi="ar"/>
              </w:rPr>
              <w:t>制发件数</w:t>
            </w:r>
          </w:p>
        </w:tc>
        <w:tc>
          <w:tcPr>
            <w:tcW w:w="1250" w:type="pct"/>
            <w:tcBorders>
              <w:top w:val="single" w:sz="8" w:space="0" w:color="auto"/>
              <w:left w:val="nil"/>
              <w:bottom w:val="single" w:sz="8" w:space="0" w:color="auto"/>
              <w:right w:val="single" w:sz="4"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本年废止件数</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现行有效件</w:t>
            </w:r>
            <w:r>
              <w:rPr>
                <w:rFonts w:ascii="宋体" w:eastAsia="宋体" w:hAnsi="宋体" w:cs="宋体" w:hint="eastAsia"/>
                <w:color w:val="333333"/>
                <w:kern w:val="0"/>
                <w:szCs w:val="21"/>
                <w:lang w:bidi="ar"/>
              </w:rPr>
              <w:t>数</w:t>
            </w:r>
          </w:p>
        </w:tc>
      </w:tr>
      <w:tr w:rsidR="00490A2C">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left"/>
              <w:rPr>
                <w:szCs w:val="21"/>
              </w:rPr>
            </w:pPr>
            <w:r>
              <w:rPr>
                <w:rFonts w:ascii="宋体" w:eastAsia="宋体" w:hAnsi="宋体" w:cs="宋体" w:hint="eastAsia"/>
                <w:color w:val="000000"/>
                <w:kern w:val="0"/>
                <w:szCs w:val="21"/>
                <w:lang w:bidi="ar"/>
              </w:rPr>
              <w:t>规章</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0</w:t>
            </w:r>
          </w:p>
        </w:tc>
        <w:tc>
          <w:tcPr>
            <w:tcW w:w="1250" w:type="pct"/>
            <w:tcBorders>
              <w:top w:val="nil"/>
              <w:left w:val="nil"/>
              <w:bottom w:val="single" w:sz="8" w:space="0" w:color="auto"/>
              <w:right w:val="single" w:sz="4"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Calibri" w:eastAsia="宋体" w:hAnsi="Calibri" w:cs="Calibri" w:hint="eastAsia"/>
                <w:color w:val="333333"/>
                <w:szCs w:val="21"/>
                <w:lang w:bidi="ar"/>
              </w:rPr>
              <w:t>0</w:t>
            </w:r>
          </w:p>
        </w:tc>
      </w:tr>
      <w:tr w:rsidR="00490A2C">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left"/>
              <w:rPr>
                <w:szCs w:val="21"/>
              </w:rPr>
            </w:pPr>
            <w:r>
              <w:rPr>
                <w:rFonts w:ascii="宋体" w:eastAsia="宋体" w:hAnsi="宋体" w:cs="宋体" w:hint="eastAsia"/>
                <w:color w:val="000000"/>
                <w:kern w:val="0"/>
                <w:szCs w:val="21"/>
                <w:lang w:bidi="ar"/>
              </w:rPr>
              <w:t>行政规范性文件</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0</w:t>
            </w:r>
          </w:p>
        </w:tc>
        <w:tc>
          <w:tcPr>
            <w:tcW w:w="1250" w:type="pct"/>
            <w:tcBorders>
              <w:top w:val="nil"/>
              <w:left w:val="nil"/>
              <w:bottom w:val="single" w:sz="8" w:space="0" w:color="auto"/>
              <w:right w:val="single" w:sz="4"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Calibri" w:eastAsia="宋体" w:hAnsi="Calibri" w:cs="Calibri" w:hint="eastAsia"/>
                <w:color w:val="333333"/>
                <w:szCs w:val="21"/>
                <w:lang w:bidi="ar"/>
              </w:rPr>
              <w:t>0</w:t>
            </w:r>
          </w:p>
        </w:tc>
      </w:tr>
      <w:tr w:rsidR="00490A2C">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第二十条第（五）项</w:t>
            </w:r>
          </w:p>
        </w:tc>
      </w:tr>
      <w:tr w:rsidR="00490A2C">
        <w:trPr>
          <w:trHeight w:val="340"/>
          <w:jc w:val="center"/>
        </w:trPr>
        <w:tc>
          <w:tcPr>
            <w:tcW w:w="1250" w:type="pct"/>
            <w:tcBorders>
              <w:top w:val="nil"/>
              <w:left w:val="single" w:sz="8" w:space="0" w:color="auto"/>
              <w:bottom w:val="single" w:sz="8" w:space="0" w:color="auto"/>
              <w:right w:val="single" w:sz="4"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信息内容</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本年处理决定数量</w:t>
            </w:r>
          </w:p>
        </w:tc>
      </w:tr>
      <w:tr w:rsidR="00490A2C">
        <w:trPr>
          <w:trHeight w:val="340"/>
          <w:jc w:val="center"/>
        </w:trPr>
        <w:tc>
          <w:tcPr>
            <w:tcW w:w="1250" w:type="pct"/>
            <w:tcBorders>
              <w:top w:val="single" w:sz="8" w:space="0" w:color="auto"/>
              <w:left w:val="single" w:sz="8" w:space="0" w:color="auto"/>
              <w:bottom w:val="single" w:sz="8" w:space="0" w:color="auto"/>
              <w:right w:val="single" w:sz="4" w:space="0" w:color="auto"/>
            </w:tcBorders>
            <w:shd w:val="clear" w:color="auto" w:fill="auto"/>
            <w:tcMar>
              <w:left w:w="57" w:type="dxa"/>
              <w:right w:w="57" w:type="dxa"/>
            </w:tcMar>
            <w:vAlign w:val="center"/>
          </w:tcPr>
          <w:p w:rsidR="00490A2C" w:rsidRDefault="00EF50DF">
            <w:pPr>
              <w:widowControl/>
              <w:spacing w:line="30" w:lineRule="atLeast"/>
              <w:jc w:val="left"/>
              <w:rPr>
                <w:szCs w:val="21"/>
              </w:rPr>
            </w:pPr>
            <w:r>
              <w:rPr>
                <w:rFonts w:ascii="宋体" w:eastAsia="宋体" w:hAnsi="宋体" w:cs="宋体" w:hint="eastAsia"/>
                <w:color w:val="000000"/>
                <w:kern w:val="0"/>
                <w:szCs w:val="21"/>
                <w:lang w:bidi="ar"/>
              </w:rPr>
              <w:t>行政许可</w:t>
            </w:r>
          </w:p>
        </w:tc>
        <w:tc>
          <w:tcPr>
            <w:tcW w:w="3750" w:type="pct"/>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Calibri" w:eastAsia="宋体" w:hAnsi="Calibri" w:cs="Calibri" w:hint="eastAsia"/>
                <w:color w:val="333333"/>
                <w:szCs w:val="21"/>
                <w:lang w:bidi="ar"/>
              </w:rPr>
              <w:t>0</w:t>
            </w:r>
          </w:p>
        </w:tc>
      </w:tr>
      <w:tr w:rsidR="00490A2C">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第二十条第（六）项</w:t>
            </w:r>
          </w:p>
        </w:tc>
      </w:tr>
      <w:tr w:rsidR="00490A2C">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信息内容</w:t>
            </w:r>
          </w:p>
        </w:tc>
        <w:tc>
          <w:tcPr>
            <w:tcW w:w="3750" w:type="pct"/>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本年处理决定数量</w:t>
            </w:r>
          </w:p>
        </w:tc>
      </w:tr>
      <w:tr w:rsidR="00490A2C">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left"/>
              <w:rPr>
                <w:szCs w:val="21"/>
              </w:rPr>
            </w:pPr>
            <w:r>
              <w:rPr>
                <w:rFonts w:ascii="宋体" w:eastAsia="宋体" w:hAnsi="宋体" w:cs="宋体" w:hint="eastAsia"/>
                <w:color w:val="000000"/>
                <w:kern w:val="0"/>
                <w:szCs w:val="21"/>
                <w:lang w:bidi="ar"/>
              </w:rPr>
              <w:t>行政处罚</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0</w:t>
            </w:r>
          </w:p>
        </w:tc>
      </w:tr>
      <w:tr w:rsidR="00490A2C">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left"/>
              <w:rPr>
                <w:szCs w:val="21"/>
              </w:rPr>
            </w:pPr>
            <w:r>
              <w:rPr>
                <w:rFonts w:ascii="宋体" w:eastAsia="宋体" w:hAnsi="宋体" w:cs="宋体" w:hint="eastAsia"/>
                <w:color w:val="000000"/>
                <w:kern w:val="0"/>
                <w:szCs w:val="21"/>
                <w:lang w:bidi="ar"/>
              </w:rPr>
              <w:t>行政强制</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0</w:t>
            </w:r>
          </w:p>
        </w:tc>
      </w:tr>
      <w:tr w:rsidR="00490A2C">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第二十条第（八）项</w:t>
            </w:r>
          </w:p>
        </w:tc>
      </w:tr>
      <w:tr w:rsidR="00490A2C">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lastRenderedPageBreak/>
              <w:t>信息内容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490A2C" w:rsidRDefault="00EF50DF">
            <w:pPr>
              <w:widowControl/>
              <w:spacing w:line="30" w:lineRule="atLeast"/>
              <w:jc w:val="center"/>
              <w:rPr>
                <w:szCs w:val="21"/>
              </w:rPr>
            </w:pPr>
            <w:r>
              <w:rPr>
                <w:rFonts w:ascii="宋体" w:eastAsia="宋体" w:hAnsi="宋体" w:cs="宋体" w:hint="eastAsia"/>
                <w:color w:val="000000"/>
                <w:kern w:val="0"/>
                <w:szCs w:val="21"/>
                <w:lang w:bidi="ar"/>
              </w:rPr>
              <w:t>本年收费金额（单位：万元）</w:t>
            </w:r>
          </w:p>
        </w:tc>
      </w:tr>
      <w:tr w:rsidR="00490A2C">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490A2C" w:rsidRDefault="00EF50DF">
            <w:pPr>
              <w:widowControl/>
              <w:spacing w:line="30" w:lineRule="atLeast"/>
              <w:jc w:val="left"/>
              <w:rPr>
                <w:szCs w:val="21"/>
              </w:rPr>
            </w:pPr>
            <w:r>
              <w:rPr>
                <w:rFonts w:ascii="宋体" w:eastAsia="宋体" w:hAnsi="宋体" w:cs="宋体" w:hint="eastAsia"/>
                <w:color w:val="000000"/>
                <w:kern w:val="0"/>
                <w:szCs w:val="21"/>
                <w:lang w:bidi="ar"/>
              </w:rPr>
              <w:t>行政事业性收费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490A2C" w:rsidRDefault="00EF50DF">
            <w:pPr>
              <w:jc w:val="center"/>
              <w:rPr>
                <w:rFonts w:ascii="宋体" w:eastAsia="宋体" w:hAnsi="宋体" w:cs="宋体"/>
                <w:color w:val="333333"/>
                <w:szCs w:val="21"/>
              </w:rPr>
            </w:pPr>
            <w:r>
              <w:rPr>
                <w:rFonts w:ascii="宋体" w:eastAsia="宋体" w:hAnsi="宋体" w:cs="宋体" w:hint="eastAsia"/>
                <w:color w:val="333333"/>
                <w:szCs w:val="21"/>
              </w:rPr>
              <w:t>0</w:t>
            </w:r>
          </w:p>
        </w:tc>
      </w:tr>
    </w:tbl>
    <w:p w:rsidR="00490A2C" w:rsidRDefault="00490A2C">
      <w:pPr>
        <w:widowControl/>
        <w:jc w:val="left"/>
      </w:pPr>
    </w:p>
    <w:p w:rsidR="00490A2C" w:rsidRDefault="00EF50DF">
      <w:pPr>
        <w:pStyle w:val="a3"/>
        <w:widowControl/>
        <w:adjustRightInd w:val="0"/>
        <w:snapToGrid w:val="0"/>
        <w:spacing w:line="56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三、收到和处理政府信息公开申请情况</w:t>
      </w:r>
    </w:p>
    <w:p w:rsidR="00490A2C" w:rsidRDefault="00EF50DF">
      <w:pPr>
        <w:pStyle w:val="a3"/>
        <w:widowControl/>
        <w:adjustRightInd w:val="0"/>
        <w:snapToGrid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年硚口区地方金融工作局未收到和处理政府信息公开申请</w:t>
      </w:r>
      <w:r>
        <w:rPr>
          <w:rFonts w:ascii="仿宋" w:eastAsia="仿宋" w:hAnsi="仿宋" w:cs="仿宋" w:hint="eastAsia"/>
          <w:sz w:val="32"/>
          <w:szCs w:val="32"/>
        </w:rPr>
        <w:t>。</w:t>
      </w:r>
    </w:p>
    <w:tbl>
      <w:tblPr>
        <w:tblW w:w="4999"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57" w:type="dxa"/>
          <w:right w:w="57" w:type="dxa"/>
        </w:tblCellMar>
        <w:tblLook w:val="04A0" w:firstRow="1" w:lastRow="0" w:firstColumn="1" w:lastColumn="0" w:noHBand="0" w:noVBand="1"/>
      </w:tblPr>
      <w:tblGrid>
        <w:gridCol w:w="710"/>
        <w:gridCol w:w="867"/>
        <w:gridCol w:w="3087"/>
        <w:gridCol w:w="644"/>
        <w:gridCol w:w="644"/>
        <w:gridCol w:w="644"/>
        <w:gridCol w:w="644"/>
        <w:gridCol w:w="644"/>
        <w:gridCol w:w="650"/>
        <w:gridCol w:w="644"/>
      </w:tblGrid>
      <w:tr w:rsidR="00490A2C">
        <w:trPr>
          <w:jc w:val="center"/>
        </w:trPr>
        <w:tc>
          <w:tcPr>
            <w:tcW w:w="2539" w:type="pct"/>
            <w:gridSpan w:val="3"/>
            <w:vMerge w:val="restart"/>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rsidR="00490A2C" w:rsidRDefault="00EF50DF">
            <w:pPr>
              <w:widowControl/>
              <w:spacing w:line="30" w:lineRule="atLeast"/>
              <w:jc w:val="left"/>
            </w:pPr>
            <w:r>
              <w:rPr>
                <w:rFonts w:ascii="楷体" w:eastAsia="楷体" w:hAnsi="楷体" w:cs="楷体" w:hint="eastAsia"/>
                <w:color w:val="333333"/>
                <w:kern w:val="0"/>
                <w:sz w:val="20"/>
                <w:szCs w:val="20"/>
                <w:lang w:bidi="ar"/>
              </w:rPr>
              <w:t>（本列数据的勾稽关系为：第一项加第二项之和，等于第三项加第四项之和）</w:t>
            </w:r>
          </w:p>
        </w:tc>
        <w:tc>
          <w:tcPr>
            <w:tcW w:w="2460" w:type="pct"/>
            <w:gridSpan w:val="7"/>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申请人情况</w:t>
            </w:r>
          </w:p>
        </w:tc>
      </w:tr>
      <w:tr w:rsidR="00490A2C">
        <w:trPr>
          <w:jc w:val="center"/>
        </w:trPr>
        <w:tc>
          <w:tcPr>
            <w:tcW w:w="2539" w:type="pct"/>
            <w:gridSpan w:val="3"/>
            <w:vMerge/>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rsidR="00490A2C" w:rsidRDefault="00490A2C">
            <w:pPr>
              <w:jc w:val="left"/>
              <w:rPr>
                <w:rFonts w:ascii="宋体" w:eastAsia="宋体" w:hAnsi="宋体" w:cs="宋体"/>
                <w:color w:val="333333"/>
                <w:szCs w:val="21"/>
              </w:rPr>
            </w:pPr>
          </w:p>
        </w:tc>
        <w:tc>
          <w:tcPr>
            <w:tcW w:w="351" w:type="pct"/>
            <w:vMerge w:val="restar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自然人</w:t>
            </w:r>
          </w:p>
        </w:tc>
        <w:tc>
          <w:tcPr>
            <w:tcW w:w="1758" w:type="pct"/>
            <w:gridSpan w:val="5"/>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法人或其他组织</w:t>
            </w:r>
          </w:p>
        </w:tc>
        <w:tc>
          <w:tcPr>
            <w:tcW w:w="351" w:type="pct"/>
            <w:vMerge w:val="restart"/>
            <w:tcBorders>
              <w:top w:val="single" w:sz="8" w:space="0" w:color="auto"/>
              <w:left w:val="nil"/>
              <w:bottom w:val="outset" w:sz="6"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总计</w:t>
            </w:r>
          </w:p>
        </w:tc>
      </w:tr>
      <w:tr w:rsidR="00490A2C">
        <w:trPr>
          <w:jc w:val="center"/>
        </w:trPr>
        <w:tc>
          <w:tcPr>
            <w:tcW w:w="2539" w:type="pct"/>
            <w:gridSpan w:val="3"/>
            <w:vMerge/>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rsidR="00490A2C" w:rsidRDefault="00490A2C">
            <w:pPr>
              <w:jc w:val="left"/>
              <w:rPr>
                <w:rFonts w:ascii="宋体" w:eastAsia="宋体" w:hAnsi="宋体" w:cs="宋体"/>
                <w:color w:val="333333"/>
                <w:szCs w:val="21"/>
              </w:rPr>
            </w:pPr>
          </w:p>
        </w:tc>
        <w:tc>
          <w:tcPr>
            <w:tcW w:w="351" w:type="pct"/>
            <w:vMerge/>
            <w:tcBorders>
              <w:top w:val="nil"/>
              <w:left w:val="nil"/>
              <w:bottom w:val="single" w:sz="8" w:space="0" w:color="auto"/>
              <w:right w:val="single" w:sz="8" w:space="0" w:color="auto"/>
            </w:tcBorders>
            <w:shd w:val="clear" w:color="auto" w:fill="auto"/>
            <w:vAlign w:val="center"/>
          </w:tcPr>
          <w:p w:rsidR="00490A2C" w:rsidRDefault="00490A2C">
            <w:pPr>
              <w:jc w:val="left"/>
              <w:rPr>
                <w:rFonts w:ascii="宋体" w:eastAsia="宋体" w:hAnsi="宋体" w:cs="宋体"/>
                <w:color w:val="333333"/>
                <w:szCs w:val="21"/>
              </w:rPr>
            </w:pP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商业</w:t>
            </w:r>
          </w:p>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企业</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科研</w:t>
            </w:r>
          </w:p>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机构</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社会公益组织</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法律服务机构</w:t>
            </w:r>
          </w:p>
        </w:tc>
        <w:tc>
          <w:tcPr>
            <w:tcW w:w="352"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其他</w:t>
            </w:r>
          </w:p>
        </w:tc>
        <w:tc>
          <w:tcPr>
            <w:tcW w:w="351" w:type="pct"/>
            <w:vMerge/>
            <w:tcBorders>
              <w:top w:val="single" w:sz="8" w:space="0" w:color="auto"/>
              <w:left w:val="nil"/>
              <w:bottom w:val="outset" w:sz="6" w:space="0" w:color="auto"/>
              <w:right w:val="single" w:sz="8" w:space="0" w:color="auto"/>
            </w:tcBorders>
            <w:shd w:val="clear" w:color="auto" w:fill="auto"/>
            <w:vAlign w:val="center"/>
          </w:tcPr>
          <w:p w:rsidR="00490A2C" w:rsidRDefault="00490A2C">
            <w:pPr>
              <w:jc w:val="left"/>
              <w:rPr>
                <w:rFonts w:ascii="宋体" w:eastAsia="宋体" w:hAnsi="宋体" w:cs="宋体"/>
                <w:color w:val="333333"/>
                <w:szCs w:val="21"/>
              </w:rPr>
            </w:pPr>
          </w:p>
        </w:tc>
      </w:tr>
      <w:tr w:rsidR="00490A2C">
        <w:trPr>
          <w:jc w:val="center"/>
        </w:trPr>
        <w:tc>
          <w:tcPr>
            <w:tcW w:w="2539" w:type="pct"/>
            <w:gridSpan w:val="3"/>
            <w:tcBorders>
              <w:top w:val="nil"/>
              <w:left w:val="single" w:sz="8" w:space="0" w:color="auto"/>
              <w:bottom w:val="single" w:sz="8" w:space="0" w:color="auto"/>
              <w:right w:val="single" w:sz="8" w:space="0" w:color="auto"/>
            </w:tcBorders>
            <w:shd w:val="clear" w:color="auto" w:fill="auto"/>
            <w:vAlign w:val="center"/>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一、本年新收政府信息公开申请数量</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2539" w:type="pct"/>
            <w:gridSpan w:val="3"/>
            <w:tcBorders>
              <w:top w:val="nil"/>
              <w:left w:val="single" w:sz="8" w:space="0" w:color="auto"/>
              <w:bottom w:val="single" w:sz="8" w:space="0" w:color="auto"/>
              <w:right w:val="single" w:sz="8" w:space="0" w:color="auto"/>
            </w:tcBorders>
            <w:shd w:val="clear" w:color="auto" w:fill="auto"/>
            <w:vAlign w:val="center"/>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二、上年结转政府信息公开申请数量</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val="restart"/>
            <w:tcBorders>
              <w:top w:val="nil"/>
              <w:left w:val="single" w:sz="8" w:space="0" w:color="auto"/>
              <w:bottom w:val="outset" w:sz="6" w:space="0" w:color="auto"/>
              <w:right w:val="single" w:sz="8" w:space="0" w:color="auto"/>
            </w:tcBorders>
            <w:shd w:val="clear" w:color="auto" w:fill="auto"/>
            <w:vAlign w:val="center"/>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三、本年度办理结果</w:t>
            </w:r>
          </w:p>
        </w:tc>
        <w:tc>
          <w:tcPr>
            <w:tcW w:w="2152" w:type="pct"/>
            <w:gridSpan w:val="2"/>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（一）予以公开</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2152" w:type="pct"/>
            <w:gridSpan w:val="2"/>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（二）部分公开（区分处理的，只计这一情形，不计其他情形）</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val="restart"/>
            <w:tcBorders>
              <w:top w:val="nil"/>
              <w:left w:val="nil"/>
              <w:bottom w:val="outset" w:sz="6" w:space="0" w:color="auto"/>
              <w:right w:val="single" w:sz="8" w:space="0" w:color="auto"/>
            </w:tcBorders>
            <w:shd w:val="clear" w:color="auto" w:fill="auto"/>
            <w:vAlign w:val="center"/>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（三）不予公开</w:t>
            </w:r>
          </w:p>
        </w:tc>
        <w:tc>
          <w:tcPr>
            <w:tcW w:w="1679" w:type="pct"/>
            <w:tcBorders>
              <w:top w:val="nil"/>
              <w:left w:val="nil"/>
              <w:bottom w:val="single" w:sz="8" w:space="0" w:color="auto"/>
              <w:right w:val="single" w:sz="8" w:space="0" w:color="auto"/>
            </w:tcBorders>
            <w:shd w:val="clear" w:color="auto" w:fill="auto"/>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1.</w:t>
            </w:r>
            <w:r>
              <w:rPr>
                <w:rFonts w:asciiTheme="minorEastAsia" w:hAnsiTheme="minorEastAsia" w:cstheme="minorEastAsia" w:hint="eastAsia"/>
                <w:color w:val="333333"/>
                <w:kern w:val="0"/>
                <w:szCs w:val="21"/>
                <w:lang w:bidi="ar"/>
              </w:rPr>
              <w:t>属于国家秘密</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2.</w:t>
            </w:r>
            <w:r>
              <w:rPr>
                <w:rFonts w:asciiTheme="minorEastAsia" w:hAnsiTheme="minorEastAsia" w:cstheme="minorEastAsia" w:hint="eastAsia"/>
                <w:color w:val="333333"/>
                <w:kern w:val="0"/>
                <w:szCs w:val="21"/>
                <w:lang w:bidi="ar"/>
              </w:rPr>
              <w:t>其他法律行政法规禁止公开</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w:t>
            </w:r>
            <w:r>
              <w:rPr>
                <w:rFonts w:asciiTheme="minorEastAsia" w:hAnsiTheme="minorEastAsia" w:cstheme="minorEastAsia" w:hint="eastAsia"/>
                <w:color w:val="333333"/>
                <w:kern w:val="0"/>
                <w:szCs w:val="21"/>
                <w:lang w:bidi="ar"/>
              </w:rPr>
              <w:t>危及“三安全一稳定”</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4.</w:t>
            </w:r>
            <w:r>
              <w:rPr>
                <w:rFonts w:asciiTheme="minorEastAsia" w:hAnsiTheme="minorEastAsia" w:cstheme="minorEastAsia" w:hint="eastAsia"/>
                <w:color w:val="333333"/>
                <w:kern w:val="0"/>
                <w:szCs w:val="21"/>
                <w:lang w:bidi="ar"/>
              </w:rPr>
              <w:t>保护第三方合法权益</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5.</w:t>
            </w:r>
            <w:r>
              <w:rPr>
                <w:rFonts w:asciiTheme="minorEastAsia" w:hAnsiTheme="minorEastAsia" w:cstheme="minorEastAsia" w:hint="eastAsia"/>
                <w:color w:val="333333"/>
                <w:kern w:val="0"/>
                <w:szCs w:val="21"/>
                <w:lang w:bidi="ar"/>
              </w:rPr>
              <w:t>属于三类内部事务信息</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6.</w:t>
            </w:r>
            <w:r>
              <w:rPr>
                <w:rFonts w:asciiTheme="minorEastAsia" w:hAnsiTheme="minorEastAsia" w:cstheme="minorEastAsia" w:hint="eastAsia"/>
                <w:color w:val="333333"/>
                <w:kern w:val="0"/>
                <w:szCs w:val="21"/>
                <w:lang w:bidi="ar"/>
              </w:rPr>
              <w:t>属于四类过程性信息</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7.</w:t>
            </w:r>
            <w:r>
              <w:rPr>
                <w:rFonts w:asciiTheme="minorEastAsia" w:hAnsiTheme="minorEastAsia" w:cstheme="minorEastAsia" w:hint="eastAsia"/>
                <w:color w:val="333333"/>
                <w:kern w:val="0"/>
                <w:szCs w:val="21"/>
                <w:lang w:bidi="ar"/>
              </w:rPr>
              <w:t>属于行政执法案卷</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8.</w:t>
            </w:r>
            <w:r>
              <w:rPr>
                <w:rFonts w:asciiTheme="minorEastAsia" w:hAnsiTheme="minorEastAsia" w:cstheme="minorEastAsia" w:hint="eastAsia"/>
                <w:color w:val="333333"/>
                <w:kern w:val="0"/>
                <w:szCs w:val="21"/>
                <w:lang w:bidi="ar"/>
              </w:rPr>
              <w:t>属于行政查询事项</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val="restart"/>
            <w:tcBorders>
              <w:top w:val="nil"/>
              <w:left w:val="nil"/>
              <w:bottom w:val="outset" w:sz="6" w:space="0" w:color="auto"/>
              <w:right w:val="single" w:sz="8" w:space="0" w:color="auto"/>
            </w:tcBorders>
            <w:shd w:val="clear" w:color="auto" w:fill="auto"/>
            <w:vAlign w:val="center"/>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（四）无法提供</w:t>
            </w:r>
          </w:p>
        </w:tc>
        <w:tc>
          <w:tcPr>
            <w:tcW w:w="1679" w:type="pct"/>
            <w:tcBorders>
              <w:top w:val="nil"/>
              <w:left w:val="nil"/>
              <w:bottom w:val="single" w:sz="8" w:space="0" w:color="auto"/>
              <w:right w:val="single" w:sz="8" w:space="0" w:color="auto"/>
            </w:tcBorders>
            <w:shd w:val="clear" w:color="auto" w:fill="auto"/>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1.</w:t>
            </w:r>
            <w:r>
              <w:rPr>
                <w:rFonts w:asciiTheme="minorEastAsia" w:hAnsiTheme="minorEastAsia" w:cstheme="minorEastAsia" w:hint="eastAsia"/>
                <w:color w:val="333333"/>
                <w:kern w:val="0"/>
                <w:szCs w:val="21"/>
                <w:lang w:bidi="ar"/>
              </w:rPr>
              <w:t>本机关不掌握相关政府信息</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2.</w:t>
            </w:r>
            <w:r>
              <w:rPr>
                <w:rFonts w:asciiTheme="minorEastAsia" w:hAnsiTheme="minorEastAsia" w:cstheme="minorEastAsia" w:hint="eastAsia"/>
                <w:color w:val="333333"/>
                <w:kern w:val="0"/>
                <w:szCs w:val="21"/>
                <w:lang w:bidi="ar"/>
              </w:rPr>
              <w:t>没有现成信息需要另行制作</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w:t>
            </w:r>
            <w:r>
              <w:rPr>
                <w:rFonts w:asciiTheme="minorEastAsia" w:hAnsiTheme="minorEastAsia" w:cstheme="minorEastAsia" w:hint="eastAsia"/>
                <w:color w:val="333333"/>
                <w:kern w:val="0"/>
                <w:szCs w:val="21"/>
                <w:lang w:bidi="ar"/>
              </w:rPr>
              <w:t>补正后申请内容仍不明确</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val="restart"/>
            <w:tcBorders>
              <w:top w:val="nil"/>
              <w:left w:val="nil"/>
              <w:bottom w:val="outset" w:sz="6" w:space="0" w:color="auto"/>
              <w:right w:val="single" w:sz="8" w:space="0" w:color="auto"/>
            </w:tcBorders>
            <w:shd w:val="clear" w:color="auto" w:fill="auto"/>
            <w:vAlign w:val="center"/>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（五）不予处理</w:t>
            </w:r>
          </w:p>
        </w:tc>
        <w:tc>
          <w:tcPr>
            <w:tcW w:w="1679" w:type="pct"/>
            <w:tcBorders>
              <w:top w:val="nil"/>
              <w:left w:val="nil"/>
              <w:bottom w:val="single" w:sz="8" w:space="0" w:color="auto"/>
              <w:right w:val="single" w:sz="8" w:space="0" w:color="auto"/>
            </w:tcBorders>
            <w:shd w:val="clear" w:color="auto" w:fill="auto"/>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1.</w:t>
            </w:r>
            <w:r>
              <w:rPr>
                <w:rFonts w:asciiTheme="minorEastAsia" w:hAnsiTheme="minorEastAsia" w:cstheme="minorEastAsia" w:hint="eastAsia"/>
                <w:color w:val="333333"/>
                <w:kern w:val="0"/>
                <w:szCs w:val="21"/>
                <w:lang w:bidi="ar"/>
              </w:rPr>
              <w:t>信访举报投诉类申请</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1679" w:type="pct"/>
            <w:tcBorders>
              <w:top w:val="single" w:sz="8" w:space="0" w:color="auto"/>
              <w:left w:val="nil"/>
              <w:bottom w:val="single" w:sz="8" w:space="0" w:color="auto"/>
              <w:right w:val="single" w:sz="8" w:space="0" w:color="auto"/>
            </w:tcBorders>
            <w:shd w:val="clear" w:color="auto" w:fill="auto"/>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2.</w:t>
            </w:r>
            <w:r>
              <w:rPr>
                <w:rFonts w:asciiTheme="minorEastAsia" w:hAnsiTheme="minorEastAsia" w:cstheme="minorEastAsia" w:hint="eastAsia"/>
                <w:color w:val="333333"/>
                <w:kern w:val="0"/>
                <w:szCs w:val="21"/>
                <w:lang w:bidi="ar"/>
              </w:rPr>
              <w:t>重复申请</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1679" w:type="pct"/>
            <w:tcBorders>
              <w:top w:val="single" w:sz="8" w:space="0" w:color="auto"/>
              <w:left w:val="nil"/>
              <w:bottom w:val="single" w:sz="8" w:space="0" w:color="auto"/>
              <w:right w:val="single" w:sz="8" w:space="0" w:color="auto"/>
            </w:tcBorders>
            <w:shd w:val="clear" w:color="auto" w:fill="auto"/>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w:t>
            </w:r>
            <w:r>
              <w:rPr>
                <w:rFonts w:asciiTheme="minorEastAsia" w:hAnsiTheme="minorEastAsia" w:cstheme="minorEastAsia" w:hint="eastAsia"/>
                <w:color w:val="333333"/>
                <w:kern w:val="0"/>
                <w:szCs w:val="21"/>
                <w:lang w:bidi="ar"/>
              </w:rPr>
              <w:t>要求提供公开出版物</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1679" w:type="pct"/>
            <w:tcBorders>
              <w:top w:val="single" w:sz="8" w:space="0" w:color="auto"/>
              <w:left w:val="nil"/>
              <w:bottom w:val="single" w:sz="8" w:space="0" w:color="auto"/>
              <w:right w:val="single" w:sz="8" w:space="0" w:color="auto"/>
            </w:tcBorders>
            <w:shd w:val="clear" w:color="auto" w:fill="auto"/>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4.</w:t>
            </w:r>
            <w:r>
              <w:rPr>
                <w:rFonts w:asciiTheme="minorEastAsia" w:hAnsiTheme="minorEastAsia" w:cstheme="minorEastAsia" w:hint="eastAsia"/>
                <w:color w:val="333333"/>
                <w:kern w:val="0"/>
                <w:szCs w:val="21"/>
                <w:lang w:bidi="ar"/>
              </w:rPr>
              <w:t>无正当理由大量反复申请</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trHeight w:val="779"/>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1679" w:type="pct"/>
            <w:tcBorders>
              <w:top w:val="nil"/>
              <w:left w:val="nil"/>
              <w:bottom w:val="outset" w:sz="6" w:space="0" w:color="auto"/>
              <w:right w:val="single" w:sz="8" w:space="0" w:color="auto"/>
            </w:tcBorders>
            <w:shd w:val="clear" w:color="auto" w:fill="auto"/>
            <w:vAlign w:val="center"/>
          </w:tcPr>
          <w:p w:rsidR="00490A2C" w:rsidRDefault="00EF50DF">
            <w:pPr>
              <w:widowControl/>
              <w:spacing w:line="30" w:lineRule="atLeast"/>
              <w:rPr>
                <w:rFonts w:asciiTheme="minorEastAsia" w:hAnsiTheme="minorEastAsia" w:cstheme="minorEastAsia"/>
                <w:szCs w:val="21"/>
              </w:rPr>
            </w:pPr>
            <w:r>
              <w:rPr>
                <w:rFonts w:asciiTheme="minorEastAsia" w:hAnsiTheme="minorEastAsia" w:cstheme="minorEastAsia" w:hint="eastAsia"/>
                <w:color w:val="333333"/>
                <w:kern w:val="0"/>
                <w:szCs w:val="21"/>
                <w:lang w:bidi="ar"/>
              </w:rPr>
              <w:t>5.</w:t>
            </w:r>
            <w:r>
              <w:rPr>
                <w:rFonts w:asciiTheme="minorEastAsia" w:hAnsiTheme="minorEastAsia" w:cstheme="minorEastAsia" w:hint="eastAsia"/>
                <w:color w:val="333333"/>
                <w:kern w:val="0"/>
                <w:szCs w:val="21"/>
                <w:lang w:bidi="ar"/>
              </w:rPr>
              <w:t>要求行政机关确认或重新出具已获取信息</w:t>
            </w:r>
          </w:p>
        </w:tc>
        <w:tc>
          <w:tcPr>
            <w:tcW w:w="351" w:type="pct"/>
            <w:tcBorders>
              <w:top w:val="nil"/>
              <w:left w:val="nil"/>
              <w:bottom w:val="outset" w:sz="6"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outset" w:sz="6"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outset" w:sz="6"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outset" w:sz="6"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outset" w:sz="6"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outset" w:sz="6"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outset" w:sz="6"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val="restart"/>
            <w:tcBorders>
              <w:top w:val="outset" w:sz="6" w:space="0" w:color="auto"/>
              <w:left w:val="nil"/>
              <w:bottom w:val="outset" w:sz="6" w:space="0" w:color="auto"/>
              <w:right w:val="single" w:sz="8" w:space="0" w:color="auto"/>
            </w:tcBorders>
            <w:shd w:val="clear" w:color="auto" w:fill="auto"/>
            <w:vAlign w:val="center"/>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（六）其他处理</w:t>
            </w:r>
          </w:p>
        </w:tc>
        <w:tc>
          <w:tcPr>
            <w:tcW w:w="1679"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rPr>
                <w:rFonts w:asciiTheme="minorEastAsia" w:hAnsiTheme="minorEastAsia" w:cstheme="minorEastAsia"/>
                <w:szCs w:val="21"/>
              </w:rPr>
            </w:pPr>
            <w:r>
              <w:rPr>
                <w:rFonts w:asciiTheme="minorEastAsia" w:hAnsiTheme="minorEastAsia" w:cstheme="minorEastAsia" w:hint="eastAsia"/>
                <w:color w:val="333333"/>
                <w:kern w:val="0"/>
                <w:szCs w:val="21"/>
                <w:lang w:bidi="ar"/>
              </w:rPr>
              <w:t>1.</w:t>
            </w:r>
            <w:r>
              <w:rPr>
                <w:rFonts w:asciiTheme="minorEastAsia" w:hAnsiTheme="minorEastAsia" w:cstheme="minorEastAsia" w:hint="eastAsia"/>
                <w:color w:val="333333"/>
                <w:kern w:val="0"/>
                <w:szCs w:val="21"/>
                <w:lang w:bidi="ar"/>
              </w:rPr>
              <w:t>申请人无正当理由逾期不补正、行政机关不再处理其政府信息公开申请</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color w:val="333333"/>
                <w:kern w:val="0"/>
                <w:szCs w:val="21"/>
                <w:lang w:bidi="ar"/>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tcBorders>
              <w:top w:val="outset" w:sz="6" w:space="0" w:color="auto"/>
              <w:left w:val="nil"/>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rPr>
                <w:rFonts w:asciiTheme="minorEastAsia" w:hAnsiTheme="minorEastAsia" w:cstheme="minorEastAsia"/>
                <w:szCs w:val="21"/>
              </w:rPr>
            </w:pPr>
            <w:r>
              <w:rPr>
                <w:rFonts w:asciiTheme="minorEastAsia" w:hAnsiTheme="minorEastAsia" w:cstheme="minorEastAsia" w:hint="eastAsia"/>
                <w:color w:val="333333"/>
                <w:kern w:val="0"/>
                <w:szCs w:val="21"/>
                <w:lang w:bidi="ar"/>
              </w:rPr>
              <w:t>2.</w:t>
            </w:r>
            <w:r>
              <w:rPr>
                <w:rFonts w:asciiTheme="minorEastAsia" w:hAnsiTheme="minorEastAsia" w:cstheme="minorEastAsia" w:hint="eastAsia"/>
                <w:color w:val="333333"/>
                <w:kern w:val="0"/>
                <w:szCs w:val="21"/>
                <w:lang w:bidi="ar"/>
              </w:rPr>
              <w:t>申请人逾期未按收费通知要求缴纳费用、行政机关不再处理其政府信息公开申请</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color w:val="333333"/>
                <w:kern w:val="0"/>
                <w:szCs w:val="21"/>
                <w:lang w:bidi="ar"/>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472" w:type="pct"/>
            <w:vMerge/>
            <w:tcBorders>
              <w:top w:val="outset" w:sz="6" w:space="0" w:color="auto"/>
              <w:left w:val="nil"/>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w:t>
            </w:r>
            <w:r>
              <w:rPr>
                <w:rFonts w:asciiTheme="minorEastAsia" w:hAnsiTheme="minorEastAsia" w:cstheme="minorEastAsia" w:hint="eastAsia"/>
                <w:color w:val="333333"/>
                <w:kern w:val="0"/>
                <w:szCs w:val="21"/>
                <w:lang w:bidi="ar"/>
              </w:rPr>
              <w:t>其他</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490A2C" w:rsidRDefault="00490A2C">
            <w:pPr>
              <w:jc w:val="left"/>
              <w:rPr>
                <w:rFonts w:asciiTheme="minorEastAsia" w:hAnsiTheme="minorEastAsia" w:cstheme="minorEastAsia"/>
                <w:color w:val="333333"/>
                <w:szCs w:val="21"/>
              </w:rPr>
            </w:pPr>
          </w:p>
        </w:tc>
        <w:tc>
          <w:tcPr>
            <w:tcW w:w="2152" w:type="pct"/>
            <w:gridSpan w:val="2"/>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（七）总计</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490A2C">
        <w:trPr>
          <w:jc w:val="center"/>
        </w:trPr>
        <w:tc>
          <w:tcPr>
            <w:tcW w:w="2539" w:type="pct"/>
            <w:gridSpan w:val="3"/>
            <w:tcBorders>
              <w:top w:val="nil"/>
              <w:left w:val="single" w:sz="8" w:space="0" w:color="auto"/>
              <w:bottom w:val="single" w:sz="8" w:space="0" w:color="auto"/>
              <w:right w:val="single" w:sz="8" w:space="0" w:color="auto"/>
            </w:tcBorders>
            <w:shd w:val="clear" w:color="auto" w:fill="auto"/>
            <w:vAlign w:val="center"/>
          </w:tcPr>
          <w:p w:rsidR="00490A2C" w:rsidRDefault="00EF50DF">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四、结转下年度继续办理</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490A2C" w:rsidRDefault="00EF50DF">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490A2C" w:rsidRDefault="00EF50DF">
            <w:pPr>
              <w:jc w:val="center"/>
              <w:rPr>
                <w:rFonts w:ascii="宋体" w:eastAsia="宋体" w:hAnsi="宋体" w:cs="宋体"/>
                <w:color w:val="333333"/>
                <w:szCs w:val="21"/>
              </w:rPr>
            </w:pPr>
            <w:r>
              <w:rPr>
                <w:rFonts w:ascii="宋体" w:eastAsia="宋体" w:hAnsi="宋体" w:cs="宋体" w:hint="eastAsia"/>
                <w:color w:val="333333"/>
                <w:szCs w:val="21"/>
              </w:rPr>
              <w:t>0</w:t>
            </w:r>
          </w:p>
        </w:tc>
      </w:tr>
    </w:tbl>
    <w:p w:rsidR="00490A2C" w:rsidRDefault="00490A2C">
      <w:pPr>
        <w:widowControl/>
        <w:spacing w:line="432" w:lineRule="auto"/>
        <w:jc w:val="center"/>
        <w:rPr>
          <w:rFonts w:ascii="宋体" w:eastAsia="宋体" w:hAnsi="宋体" w:cs="宋体"/>
          <w:color w:val="333333"/>
          <w:sz w:val="24"/>
        </w:rPr>
      </w:pPr>
    </w:p>
    <w:p w:rsidR="00490A2C" w:rsidRDefault="00EF50DF">
      <w:pPr>
        <w:pStyle w:val="a3"/>
        <w:widowControl/>
        <w:adjustRightInd w:val="0"/>
        <w:snapToGrid w:val="0"/>
        <w:spacing w:line="56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四、政府信息公开行政复议、行政诉讼情况</w:t>
      </w:r>
    </w:p>
    <w:p w:rsidR="00490A2C" w:rsidRDefault="00EF50DF">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年度，硚口区地方金融工作局无因政府信息公开工作被提起行政诉讼和行政复议。</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13"/>
        <w:gridCol w:w="613"/>
        <w:gridCol w:w="613"/>
        <w:gridCol w:w="622"/>
        <w:gridCol w:w="613"/>
        <w:gridCol w:w="613"/>
        <w:gridCol w:w="615"/>
        <w:gridCol w:w="615"/>
        <w:gridCol w:w="620"/>
        <w:gridCol w:w="615"/>
        <w:gridCol w:w="615"/>
        <w:gridCol w:w="615"/>
        <w:gridCol w:w="615"/>
        <w:gridCol w:w="620"/>
      </w:tblGrid>
      <w:tr w:rsidR="00490A2C">
        <w:trPr>
          <w:jc w:val="center"/>
        </w:trPr>
        <w:tc>
          <w:tcPr>
            <w:tcW w:w="166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宋体" w:eastAsia="宋体" w:hAnsi="宋体" w:cs="宋体" w:hint="eastAsia"/>
                <w:color w:val="333333"/>
                <w:kern w:val="0"/>
                <w:sz w:val="20"/>
                <w:szCs w:val="20"/>
                <w:lang w:bidi="ar"/>
              </w:rPr>
              <w:t>行政复议</w:t>
            </w:r>
          </w:p>
        </w:tc>
        <w:tc>
          <w:tcPr>
            <w:tcW w:w="333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宋体" w:eastAsia="宋体" w:hAnsi="宋体" w:cs="宋体" w:hint="eastAsia"/>
                <w:color w:val="333333"/>
                <w:kern w:val="0"/>
                <w:sz w:val="20"/>
                <w:szCs w:val="20"/>
                <w:lang w:bidi="ar"/>
              </w:rPr>
              <w:t>行政诉讼</w:t>
            </w:r>
          </w:p>
        </w:tc>
      </w:tr>
      <w:tr w:rsidR="00490A2C">
        <w:trPr>
          <w:jc w:val="center"/>
        </w:trPr>
        <w:tc>
          <w:tcPr>
            <w:tcW w:w="332" w:type="pct"/>
            <w:vMerge w:val="restart"/>
            <w:tcBorders>
              <w:top w:val="nil"/>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宋体" w:eastAsia="宋体" w:hAnsi="宋体" w:cs="宋体" w:hint="eastAsia"/>
                <w:color w:val="333333"/>
                <w:kern w:val="0"/>
                <w:sz w:val="20"/>
                <w:szCs w:val="20"/>
                <w:lang w:bidi="ar"/>
              </w:rPr>
              <w:t>结果维持</w:t>
            </w:r>
          </w:p>
        </w:tc>
        <w:tc>
          <w:tcPr>
            <w:tcW w:w="332" w:type="pct"/>
            <w:vMerge w:val="restart"/>
            <w:tcBorders>
              <w:top w:val="nil"/>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结果</w:t>
            </w:r>
          </w:p>
          <w:p w:rsidR="00490A2C" w:rsidRDefault="00EF50DF">
            <w:pPr>
              <w:widowControl/>
              <w:spacing w:line="30" w:lineRule="atLeast"/>
              <w:jc w:val="center"/>
            </w:pPr>
            <w:r>
              <w:rPr>
                <w:rFonts w:ascii="宋体" w:eastAsia="宋体" w:hAnsi="宋体" w:cs="宋体" w:hint="eastAsia"/>
                <w:color w:val="333333"/>
                <w:kern w:val="0"/>
                <w:sz w:val="20"/>
                <w:szCs w:val="20"/>
                <w:lang w:bidi="ar"/>
              </w:rPr>
              <w:t>纠正</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其他</w:t>
            </w:r>
          </w:p>
          <w:p w:rsidR="00490A2C" w:rsidRDefault="00EF50DF">
            <w:pPr>
              <w:widowControl/>
              <w:spacing w:line="30" w:lineRule="atLeast"/>
              <w:jc w:val="center"/>
            </w:pPr>
            <w:r>
              <w:rPr>
                <w:rFonts w:ascii="宋体" w:eastAsia="宋体" w:hAnsi="宋体" w:cs="宋体" w:hint="eastAsia"/>
                <w:color w:val="333333"/>
                <w:kern w:val="0"/>
                <w:sz w:val="20"/>
                <w:szCs w:val="20"/>
                <w:lang w:bidi="ar"/>
              </w:rPr>
              <w:t>结果</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尚未</w:t>
            </w:r>
          </w:p>
          <w:p w:rsidR="00490A2C" w:rsidRDefault="00EF50DF">
            <w:pPr>
              <w:widowControl/>
              <w:spacing w:line="30" w:lineRule="atLeast"/>
              <w:jc w:val="center"/>
            </w:pPr>
            <w:r>
              <w:rPr>
                <w:rFonts w:ascii="宋体" w:eastAsia="宋体" w:hAnsi="宋体" w:cs="宋体" w:hint="eastAsia"/>
                <w:color w:val="333333"/>
                <w:kern w:val="0"/>
                <w:sz w:val="20"/>
                <w:szCs w:val="20"/>
                <w:lang w:bidi="ar"/>
              </w:rPr>
              <w:t>审结</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宋体" w:eastAsia="宋体" w:hAnsi="宋体" w:cs="宋体" w:hint="eastAsia"/>
                <w:color w:val="333333"/>
                <w:kern w:val="0"/>
                <w:sz w:val="20"/>
                <w:szCs w:val="20"/>
                <w:lang w:bidi="ar"/>
              </w:rPr>
              <w:t>总计</w:t>
            </w:r>
          </w:p>
        </w:tc>
        <w:tc>
          <w:tcPr>
            <w:tcW w:w="166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宋体" w:eastAsia="宋体" w:hAnsi="宋体" w:cs="宋体" w:hint="eastAsia"/>
                <w:color w:val="333333"/>
                <w:kern w:val="0"/>
                <w:sz w:val="20"/>
                <w:szCs w:val="20"/>
                <w:lang w:bidi="ar"/>
              </w:rPr>
              <w:t>未经复议直接起诉</w:t>
            </w:r>
          </w:p>
        </w:tc>
        <w:tc>
          <w:tcPr>
            <w:tcW w:w="166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宋体" w:eastAsia="宋体" w:hAnsi="宋体" w:cs="宋体" w:hint="eastAsia"/>
                <w:color w:val="333333"/>
                <w:kern w:val="0"/>
                <w:sz w:val="20"/>
                <w:szCs w:val="20"/>
                <w:lang w:bidi="ar"/>
              </w:rPr>
              <w:t>复议后起诉</w:t>
            </w:r>
          </w:p>
        </w:tc>
      </w:tr>
      <w:tr w:rsidR="00490A2C">
        <w:trPr>
          <w:jc w:val="center"/>
        </w:trPr>
        <w:tc>
          <w:tcPr>
            <w:tcW w:w="332" w:type="pct"/>
            <w:vMerge/>
            <w:tcBorders>
              <w:top w:val="nil"/>
              <w:left w:val="single" w:sz="4" w:space="0" w:color="auto"/>
              <w:bottom w:val="single" w:sz="4" w:space="0" w:color="auto"/>
              <w:right w:val="single" w:sz="4" w:space="0" w:color="auto"/>
            </w:tcBorders>
            <w:shd w:val="clear" w:color="auto" w:fill="auto"/>
            <w:vAlign w:val="center"/>
          </w:tcPr>
          <w:p w:rsidR="00490A2C" w:rsidRDefault="00490A2C">
            <w:pPr>
              <w:jc w:val="left"/>
              <w:rPr>
                <w:rFonts w:ascii="宋体" w:eastAsia="宋体" w:hAnsi="宋体" w:cs="宋体"/>
                <w:color w:val="333333"/>
                <w:szCs w:val="21"/>
              </w:rPr>
            </w:pPr>
          </w:p>
        </w:tc>
        <w:tc>
          <w:tcPr>
            <w:tcW w:w="332" w:type="pct"/>
            <w:vMerge/>
            <w:tcBorders>
              <w:top w:val="nil"/>
              <w:left w:val="single" w:sz="4" w:space="0" w:color="auto"/>
              <w:bottom w:val="single" w:sz="4" w:space="0" w:color="auto"/>
              <w:right w:val="single" w:sz="4" w:space="0" w:color="auto"/>
            </w:tcBorders>
            <w:shd w:val="clear" w:color="auto" w:fill="auto"/>
            <w:vAlign w:val="center"/>
          </w:tcPr>
          <w:p w:rsidR="00490A2C" w:rsidRDefault="00490A2C">
            <w:pPr>
              <w:jc w:val="left"/>
              <w:rPr>
                <w:rFonts w:ascii="宋体" w:eastAsia="宋体" w:hAnsi="宋体" w:cs="宋体"/>
                <w:color w:val="333333"/>
                <w:szCs w:val="21"/>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490A2C">
            <w:pPr>
              <w:jc w:val="left"/>
              <w:rPr>
                <w:rFonts w:ascii="宋体" w:eastAsia="宋体" w:hAnsi="宋体" w:cs="宋体"/>
                <w:color w:val="333333"/>
                <w:szCs w:val="21"/>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490A2C">
            <w:pPr>
              <w:jc w:val="left"/>
              <w:rPr>
                <w:rFonts w:ascii="宋体" w:eastAsia="宋体" w:hAnsi="宋体" w:cs="宋体"/>
                <w:color w:val="333333"/>
                <w:szCs w:val="21"/>
              </w:rPr>
            </w:pPr>
          </w:p>
        </w:tc>
        <w:tc>
          <w:tcPr>
            <w:tcW w:w="3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490A2C">
            <w:pPr>
              <w:jc w:val="left"/>
              <w:rPr>
                <w:rFonts w:ascii="宋体" w:eastAsia="宋体" w:hAnsi="宋体" w:cs="宋体"/>
                <w:color w:val="333333"/>
                <w:szCs w:val="21"/>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结果</w:t>
            </w:r>
          </w:p>
          <w:p w:rsidR="00490A2C" w:rsidRDefault="00EF50DF">
            <w:pPr>
              <w:widowControl/>
              <w:spacing w:line="30" w:lineRule="atLeast"/>
              <w:jc w:val="center"/>
            </w:pPr>
            <w:r>
              <w:rPr>
                <w:rFonts w:ascii="宋体" w:eastAsia="宋体" w:hAnsi="宋体" w:cs="宋体" w:hint="eastAsia"/>
                <w:color w:val="333333"/>
                <w:kern w:val="0"/>
                <w:sz w:val="20"/>
                <w:szCs w:val="20"/>
                <w:lang w:bidi="ar"/>
              </w:rPr>
              <w:t>维持</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结果</w:t>
            </w:r>
          </w:p>
          <w:p w:rsidR="00490A2C" w:rsidRDefault="00EF50DF">
            <w:pPr>
              <w:widowControl/>
              <w:spacing w:line="30" w:lineRule="atLeast"/>
              <w:jc w:val="center"/>
            </w:pPr>
            <w:r>
              <w:rPr>
                <w:rFonts w:ascii="宋体" w:eastAsia="宋体" w:hAnsi="宋体" w:cs="宋体" w:hint="eastAsia"/>
                <w:color w:val="333333"/>
                <w:kern w:val="0"/>
                <w:sz w:val="20"/>
                <w:szCs w:val="20"/>
                <w:lang w:bidi="ar"/>
              </w:rPr>
              <w:t>纠正</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其他</w:t>
            </w:r>
          </w:p>
          <w:p w:rsidR="00490A2C" w:rsidRDefault="00EF50DF">
            <w:pPr>
              <w:widowControl/>
              <w:spacing w:line="30" w:lineRule="atLeast"/>
              <w:jc w:val="center"/>
            </w:pPr>
            <w:r>
              <w:rPr>
                <w:rFonts w:ascii="宋体" w:eastAsia="宋体" w:hAnsi="宋体" w:cs="宋体" w:hint="eastAsia"/>
                <w:color w:val="333333"/>
                <w:kern w:val="0"/>
                <w:sz w:val="20"/>
                <w:szCs w:val="20"/>
                <w:lang w:bidi="ar"/>
              </w:rPr>
              <w:t>结果</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尚未</w:t>
            </w:r>
          </w:p>
          <w:p w:rsidR="00490A2C" w:rsidRDefault="00EF50DF">
            <w:pPr>
              <w:widowControl/>
              <w:spacing w:line="30" w:lineRule="atLeast"/>
              <w:jc w:val="center"/>
            </w:pPr>
            <w:r>
              <w:rPr>
                <w:rFonts w:ascii="宋体" w:eastAsia="宋体" w:hAnsi="宋体" w:cs="宋体" w:hint="eastAsia"/>
                <w:color w:val="333333"/>
                <w:kern w:val="0"/>
                <w:sz w:val="20"/>
                <w:szCs w:val="20"/>
                <w:lang w:bidi="ar"/>
              </w:rPr>
              <w:t>审结</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宋体" w:eastAsia="宋体" w:hAnsi="宋体" w:cs="宋体" w:hint="eastAsia"/>
                <w:color w:val="000000"/>
                <w:kern w:val="0"/>
                <w:sz w:val="20"/>
                <w:szCs w:val="20"/>
                <w:lang w:bidi="ar"/>
              </w:rPr>
              <w:t>总计</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结果</w:t>
            </w:r>
          </w:p>
          <w:p w:rsidR="00490A2C" w:rsidRDefault="00EF50DF">
            <w:pPr>
              <w:widowControl/>
              <w:spacing w:line="30" w:lineRule="atLeast"/>
              <w:jc w:val="center"/>
            </w:pPr>
            <w:r>
              <w:rPr>
                <w:rFonts w:ascii="宋体" w:eastAsia="宋体" w:hAnsi="宋体" w:cs="宋体" w:hint="eastAsia"/>
                <w:color w:val="333333"/>
                <w:kern w:val="0"/>
                <w:sz w:val="20"/>
                <w:szCs w:val="20"/>
                <w:lang w:bidi="ar"/>
              </w:rPr>
              <w:t>维持</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结果</w:t>
            </w:r>
          </w:p>
          <w:p w:rsidR="00490A2C" w:rsidRDefault="00EF50DF">
            <w:pPr>
              <w:widowControl/>
              <w:spacing w:line="30" w:lineRule="atLeast"/>
              <w:jc w:val="center"/>
            </w:pPr>
            <w:r>
              <w:rPr>
                <w:rFonts w:ascii="宋体" w:eastAsia="宋体" w:hAnsi="宋体" w:cs="宋体" w:hint="eastAsia"/>
                <w:color w:val="333333"/>
                <w:kern w:val="0"/>
                <w:sz w:val="20"/>
                <w:szCs w:val="20"/>
                <w:lang w:bidi="ar"/>
              </w:rPr>
              <w:t>纠正</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其他</w:t>
            </w:r>
          </w:p>
          <w:p w:rsidR="00490A2C" w:rsidRDefault="00EF50DF">
            <w:pPr>
              <w:widowControl/>
              <w:spacing w:line="30" w:lineRule="atLeast"/>
              <w:jc w:val="center"/>
            </w:pPr>
            <w:r>
              <w:rPr>
                <w:rFonts w:ascii="宋体" w:eastAsia="宋体" w:hAnsi="宋体" w:cs="宋体" w:hint="eastAsia"/>
                <w:color w:val="000000"/>
                <w:kern w:val="0"/>
                <w:sz w:val="20"/>
                <w:szCs w:val="20"/>
                <w:lang w:bidi="ar"/>
              </w:rPr>
              <w:t>结果</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尚未</w:t>
            </w:r>
          </w:p>
          <w:p w:rsidR="00490A2C" w:rsidRDefault="00EF50DF">
            <w:pPr>
              <w:widowControl/>
              <w:spacing w:line="30" w:lineRule="atLeast"/>
              <w:jc w:val="center"/>
            </w:pPr>
            <w:r>
              <w:rPr>
                <w:rFonts w:ascii="宋体" w:eastAsia="宋体" w:hAnsi="宋体" w:cs="宋体" w:hint="eastAsia"/>
                <w:color w:val="333333"/>
                <w:kern w:val="0"/>
                <w:sz w:val="20"/>
                <w:szCs w:val="20"/>
                <w:lang w:bidi="ar"/>
              </w:rPr>
              <w:t>审结</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宋体" w:eastAsia="宋体" w:hAnsi="宋体" w:cs="宋体" w:hint="eastAsia"/>
                <w:color w:val="000000"/>
                <w:kern w:val="0"/>
                <w:sz w:val="20"/>
                <w:szCs w:val="20"/>
                <w:lang w:bidi="ar"/>
              </w:rPr>
              <w:t>总计</w:t>
            </w:r>
          </w:p>
        </w:tc>
      </w:tr>
      <w:tr w:rsidR="00490A2C">
        <w:trPr>
          <w:trHeight w:val="672"/>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黑体" w:eastAsia="黑体" w:hAnsi="宋体" w:cs="黑体" w:hint="eastAsia"/>
                <w:color w:val="333333"/>
                <w:sz w:val="20"/>
                <w:szCs w:val="20"/>
                <w:lang w:bidi="ar"/>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黑体" w:eastAsia="黑体" w:hAnsi="宋体" w:cs="黑体" w:hint="eastAsia"/>
                <w:color w:val="333333"/>
                <w:sz w:val="20"/>
                <w:szCs w:val="20"/>
                <w:lang w:bidi="ar"/>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widowControl/>
              <w:spacing w:line="30" w:lineRule="atLeast"/>
              <w:jc w:val="center"/>
            </w:pPr>
            <w:r>
              <w:rPr>
                <w:rFonts w:ascii="黑体" w:eastAsia="黑体" w:hAnsi="宋体" w:cs="黑体" w:hint="eastAsia"/>
                <w:color w:val="333333"/>
                <w:sz w:val="20"/>
                <w:szCs w:val="20"/>
                <w:lang w:bidi="ar"/>
              </w:rPr>
              <w:t>0</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490A2C" w:rsidRDefault="00EF50DF">
            <w:pPr>
              <w:jc w:val="center"/>
              <w:rPr>
                <w:rFonts w:ascii="宋体" w:eastAsia="宋体" w:hAnsi="宋体" w:cs="宋体"/>
                <w:color w:val="333333"/>
                <w:szCs w:val="21"/>
              </w:rPr>
            </w:pPr>
            <w:r>
              <w:rPr>
                <w:rFonts w:ascii="宋体" w:eastAsia="宋体" w:hAnsi="宋体" w:cs="宋体" w:hint="eastAsia"/>
                <w:color w:val="333333"/>
                <w:szCs w:val="21"/>
              </w:rPr>
              <w:t>0</w:t>
            </w:r>
          </w:p>
        </w:tc>
      </w:tr>
    </w:tbl>
    <w:p w:rsidR="00490A2C" w:rsidRDefault="00490A2C">
      <w:pPr>
        <w:widowControl/>
        <w:jc w:val="left"/>
      </w:pPr>
    </w:p>
    <w:p w:rsidR="00490A2C" w:rsidRDefault="00EF50DF">
      <w:pPr>
        <w:pStyle w:val="a3"/>
        <w:widowControl/>
        <w:spacing w:line="56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五、存在的主要问题及改进情况</w:t>
      </w:r>
    </w:p>
    <w:p w:rsidR="00490A2C" w:rsidRDefault="00EF50DF">
      <w:pPr>
        <w:pStyle w:val="a3"/>
        <w:widowControl/>
        <w:spacing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（一）上年度存在的问题及在本年度的改进情况</w:t>
      </w:r>
    </w:p>
    <w:p w:rsidR="00490A2C" w:rsidRDefault="00EF50D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信息公开工作基础薄弱，政务公开业务水平有待进一步提高，政务公开内容不够全面，信息更新还需要更及时。</w:t>
      </w:r>
    </w:p>
    <w:p w:rsidR="00490A2C" w:rsidRDefault="00EF50D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针对上述问题，已加强学习和培训。认真组织学习《中华人民共和国政府信息公开条例》，严格按照规定落实信息公开工作。</w:t>
      </w:r>
    </w:p>
    <w:p w:rsidR="00490A2C" w:rsidRDefault="00EF50DF">
      <w:pPr>
        <w:pStyle w:val="a3"/>
        <w:widowControl/>
        <w:spacing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（二）本年度存在的问题及在下年度的改进措施</w:t>
      </w:r>
    </w:p>
    <w:p w:rsidR="00490A2C" w:rsidRDefault="00EF50D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按相关工作要求自查，政府信息公开的准确性、完整性需要进一步提高。</w:t>
      </w:r>
    </w:p>
    <w:p w:rsidR="00490A2C" w:rsidRDefault="00EF50D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针对以上问题，强化对政务、信息公开工作的领导和监督，加大公开工作审核力度，切实落实工作责任，确保政府信息公开工作落到实处。</w:t>
      </w:r>
    </w:p>
    <w:p w:rsidR="00490A2C" w:rsidRDefault="00EF50DF">
      <w:pPr>
        <w:pStyle w:val="a3"/>
        <w:widowControl/>
        <w:spacing w:line="56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六、其他需要报告的事项</w:t>
      </w:r>
    </w:p>
    <w:p w:rsidR="00490A2C" w:rsidRDefault="00EF50DF">
      <w:pPr>
        <w:pStyle w:val="a3"/>
        <w:widowControl/>
        <w:spacing w:line="586" w:lineRule="exact"/>
        <w:ind w:firstLineChars="200" w:firstLine="640"/>
        <w:jc w:val="both"/>
        <w:rPr>
          <w:rFonts w:ascii="楷体" w:eastAsia="楷体" w:hAnsi="楷体" w:cs="楷体"/>
          <w:sz w:val="32"/>
          <w:szCs w:val="32"/>
        </w:rPr>
      </w:pPr>
      <w:r>
        <w:rPr>
          <w:rFonts w:ascii="楷体" w:eastAsia="楷体" w:hAnsi="楷体" w:cs="楷体" w:hint="eastAsia"/>
          <w:sz w:val="32"/>
          <w:szCs w:val="32"/>
        </w:rPr>
        <w:lastRenderedPageBreak/>
        <w:t>（一）政府信息处理费收取情况</w:t>
      </w:r>
    </w:p>
    <w:p w:rsidR="00490A2C" w:rsidRDefault="00EF50DF">
      <w:pPr>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lang w:bidi="ar"/>
        </w:rPr>
        <w:t>2023</w:t>
      </w:r>
      <w:r>
        <w:rPr>
          <w:rFonts w:ascii="仿宋" w:eastAsia="仿宋" w:hAnsi="仿宋" w:cs="仿宋" w:hint="eastAsia"/>
          <w:kern w:val="0"/>
          <w:sz w:val="32"/>
          <w:szCs w:val="32"/>
          <w:lang w:bidi="ar"/>
        </w:rPr>
        <w:t>年度</w:t>
      </w:r>
      <w:r>
        <w:rPr>
          <w:rFonts w:ascii="仿宋" w:eastAsia="仿宋" w:hAnsi="仿宋" w:cs="仿宋" w:hint="eastAsia"/>
          <w:kern w:val="0"/>
          <w:sz w:val="32"/>
          <w:szCs w:val="32"/>
          <w:lang w:bidi="ar"/>
        </w:rPr>
        <w:t>我单位收取政府信息处理费为</w:t>
      </w:r>
      <w:r>
        <w:rPr>
          <w:rFonts w:ascii="仿宋" w:eastAsia="仿宋" w:hAnsi="仿宋" w:cs="仿宋" w:hint="eastAsia"/>
          <w:kern w:val="0"/>
          <w:sz w:val="32"/>
          <w:szCs w:val="32"/>
          <w:lang w:bidi="ar"/>
        </w:rPr>
        <w:t>0</w:t>
      </w:r>
      <w:r>
        <w:rPr>
          <w:rFonts w:ascii="仿宋" w:eastAsia="仿宋" w:hAnsi="仿宋" w:cs="仿宋" w:hint="eastAsia"/>
          <w:kern w:val="0"/>
          <w:sz w:val="32"/>
          <w:szCs w:val="32"/>
          <w:lang w:bidi="ar"/>
        </w:rPr>
        <w:t>元</w:t>
      </w:r>
      <w:r>
        <w:rPr>
          <w:rFonts w:ascii="仿宋" w:eastAsia="仿宋" w:hAnsi="仿宋" w:cs="仿宋" w:hint="eastAsia"/>
          <w:sz w:val="32"/>
          <w:szCs w:val="32"/>
        </w:rPr>
        <w:t>。</w:t>
      </w:r>
    </w:p>
    <w:p w:rsidR="00490A2C" w:rsidRDefault="00EF50DF">
      <w:pPr>
        <w:pStyle w:val="a3"/>
        <w:widowControl/>
        <w:spacing w:line="586" w:lineRule="exact"/>
        <w:ind w:firstLineChars="200" w:firstLine="640"/>
        <w:jc w:val="both"/>
        <w:rPr>
          <w:rFonts w:ascii="方正楷体_GBK" w:eastAsia="方正楷体_GBK" w:hAnsi="方正楷体_GBK" w:cs="方正楷体_GBK"/>
          <w:sz w:val="32"/>
          <w:szCs w:val="32"/>
          <w:highlight w:val="yellow"/>
        </w:rPr>
      </w:pPr>
      <w:r>
        <w:rPr>
          <w:rFonts w:ascii="楷体" w:eastAsia="楷体" w:hAnsi="楷体" w:cs="楷体" w:hint="eastAsia"/>
          <w:sz w:val="32"/>
          <w:szCs w:val="32"/>
        </w:rPr>
        <w:t>（二）议题案办理情况</w:t>
      </w:r>
    </w:p>
    <w:p w:rsidR="00490A2C" w:rsidRDefault="00EF50D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年我局共承办人大议案和政协提案</w:t>
      </w:r>
      <w:r>
        <w:rPr>
          <w:rFonts w:ascii="仿宋" w:eastAsia="仿宋" w:hAnsi="仿宋" w:cs="仿宋" w:hint="eastAsia"/>
          <w:sz w:val="32"/>
          <w:szCs w:val="32"/>
        </w:rPr>
        <w:t>21</w:t>
      </w:r>
      <w:r>
        <w:rPr>
          <w:rFonts w:ascii="仿宋" w:eastAsia="仿宋" w:hAnsi="仿宋" w:cs="仿宋" w:hint="eastAsia"/>
          <w:sz w:val="32"/>
          <w:szCs w:val="32"/>
        </w:rPr>
        <w:t>件，主办人大议案</w:t>
      </w:r>
      <w:r>
        <w:rPr>
          <w:rFonts w:ascii="仿宋" w:eastAsia="仿宋" w:hAnsi="仿宋" w:cs="仿宋" w:hint="eastAsia"/>
          <w:sz w:val="32"/>
          <w:szCs w:val="32"/>
        </w:rPr>
        <w:t>0</w:t>
      </w:r>
      <w:r>
        <w:rPr>
          <w:rFonts w:ascii="仿宋" w:eastAsia="仿宋" w:hAnsi="仿宋" w:cs="仿宋" w:hint="eastAsia"/>
          <w:sz w:val="32"/>
          <w:szCs w:val="32"/>
        </w:rPr>
        <w:t>件、政协提案</w:t>
      </w:r>
      <w:r>
        <w:rPr>
          <w:rFonts w:ascii="仿宋" w:eastAsia="仿宋" w:hAnsi="仿宋" w:cs="仿宋" w:hint="eastAsia"/>
          <w:sz w:val="32"/>
          <w:szCs w:val="32"/>
        </w:rPr>
        <w:t>5</w:t>
      </w:r>
      <w:r>
        <w:rPr>
          <w:rFonts w:ascii="仿宋" w:eastAsia="仿宋" w:hAnsi="仿宋" w:cs="仿宋" w:hint="eastAsia"/>
          <w:sz w:val="32"/>
          <w:szCs w:val="32"/>
        </w:rPr>
        <w:t>件，协办人大议案</w:t>
      </w:r>
      <w:r>
        <w:rPr>
          <w:rFonts w:ascii="仿宋" w:eastAsia="仿宋" w:hAnsi="仿宋" w:cs="仿宋" w:hint="eastAsia"/>
          <w:sz w:val="32"/>
          <w:szCs w:val="32"/>
        </w:rPr>
        <w:t>4</w:t>
      </w:r>
      <w:r>
        <w:rPr>
          <w:rFonts w:ascii="仿宋" w:eastAsia="仿宋" w:hAnsi="仿宋" w:cs="仿宋" w:hint="eastAsia"/>
          <w:sz w:val="32"/>
          <w:szCs w:val="32"/>
        </w:rPr>
        <w:t>件、政协提案</w:t>
      </w:r>
      <w:r>
        <w:rPr>
          <w:rFonts w:ascii="仿宋" w:eastAsia="仿宋" w:hAnsi="仿宋" w:cs="仿宋" w:hint="eastAsia"/>
          <w:sz w:val="32"/>
          <w:szCs w:val="32"/>
        </w:rPr>
        <w:t>12</w:t>
      </w:r>
      <w:r>
        <w:rPr>
          <w:rFonts w:ascii="仿宋" w:eastAsia="仿宋" w:hAnsi="仿宋" w:cs="仿宋" w:hint="eastAsia"/>
          <w:sz w:val="32"/>
          <w:szCs w:val="32"/>
        </w:rPr>
        <w:t>件，满意率</w:t>
      </w:r>
      <w:r>
        <w:rPr>
          <w:rFonts w:ascii="仿宋" w:eastAsia="仿宋" w:hAnsi="仿宋" w:cs="仿宋" w:hint="eastAsia"/>
          <w:sz w:val="32"/>
          <w:szCs w:val="32"/>
        </w:rPr>
        <w:t>100%</w:t>
      </w:r>
      <w:r>
        <w:rPr>
          <w:rFonts w:ascii="仿宋" w:eastAsia="仿宋" w:hAnsi="仿宋" w:cs="仿宋" w:hint="eastAsia"/>
          <w:sz w:val="32"/>
          <w:szCs w:val="32"/>
        </w:rPr>
        <w:t>。</w:t>
      </w:r>
    </w:p>
    <w:p w:rsidR="00490A2C" w:rsidRDefault="00EF50DF">
      <w:pPr>
        <w:pStyle w:val="a3"/>
        <w:widowControl/>
        <w:spacing w:line="560" w:lineRule="exact"/>
        <w:ind w:firstLineChars="200" w:firstLine="640"/>
        <w:jc w:val="both"/>
        <w:rPr>
          <w:rFonts w:ascii="仿宋_GB2312" w:eastAsia="仿宋_GB2312" w:hAnsi="仿宋_GB2312" w:cs="仿宋_GB2312"/>
          <w:sz w:val="32"/>
          <w:szCs w:val="32"/>
          <w:highlight w:val="yellow"/>
        </w:rPr>
      </w:pPr>
      <w:r>
        <w:rPr>
          <w:rFonts w:ascii="楷体" w:eastAsia="楷体" w:hAnsi="楷体" w:cs="楷体" w:hint="eastAsia"/>
          <w:sz w:val="32"/>
          <w:szCs w:val="32"/>
        </w:rPr>
        <w:t>（三）重点领域政府信息公开情况</w:t>
      </w:r>
    </w:p>
    <w:p w:rsidR="00490A2C" w:rsidRDefault="007A4C65">
      <w:pPr>
        <w:spacing w:line="560" w:lineRule="exact"/>
        <w:ind w:firstLineChars="200" w:firstLine="640"/>
        <w:rPr>
          <w:rFonts w:ascii="仿宋" w:eastAsia="仿宋" w:hAnsi="仿宋" w:cs="仿宋" w:hint="eastAsia"/>
          <w:sz w:val="32"/>
          <w:szCs w:val="32"/>
        </w:rPr>
      </w:pPr>
      <w:r w:rsidRPr="007A4C65">
        <w:rPr>
          <w:rFonts w:ascii="仿宋" w:eastAsia="仿宋" w:hAnsi="仿宋" w:cs="仿宋" w:hint="eastAsia"/>
          <w:sz w:val="32"/>
          <w:szCs w:val="32"/>
        </w:rPr>
        <w:t>“</w:t>
      </w:r>
      <w:r w:rsidRPr="007A4C65">
        <w:rPr>
          <w:rFonts w:ascii="仿宋" w:eastAsia="仿宋" w:hAnsi="仿宋" w:cs="仿宋" w:hint="eastAsia"/>
          <w:sz w:val="32"/>
          <w:szCs w:val="32"/>
        </w:rPr>
        <w:t>交银助力，硚见未来</w:t>
      </w:r>
      <w:r w:rsidRPr="007A4C65">
        <w:rPr>
          <w:rFonts w:ascii="仿宋" w:eastAsia="仿宋" w:hAnsi="仿宋" w:cs="仿宋" w:hint="eastAsia"/>
          <w:sz w:val="32"/>
          <w:szCs w:val="32"/>
        </w:rPr>
        <w:t>”，</w:t>
      </w:r>
      <w:r w:rsidRPr="007A4C65">
        <w:rPr>
          <w:rFonts w:ascii="仿宋" w:eastAsia="仿宋" w:hAnsi="仿宋" w:cs="仿宋" w:hint="eastAsia"/>
          <w:sz w:val="32"/>
          <w:szCs w:val="32"/>
        </w:rPr>
        <w:t>区政府与交通银行湖北省分行</w:t>
      </w:r>
      <w:r w:rsidRPr="007A4C65">
        <w:rPr>
          <w:rFonts w:ascii="仿宋" w:eastAsia="仿宋" w:hAnsi="仿宋" w:cs="仿宋" w:hint="eastAsia"/>
          <w:sz w:val="32"/>
          <w:szCs w:val="32"/>
        </w:rPr>
        <w:t>签署</w:t>
      </w:r>
      <w:r w:rsidRPr="007A4C65">
        <w:rPr>
          <w:rFonts w:ascii="仿宋" w:eastAsia="仿宋" w:hAnsi="仿宋" w:cs="仿宋"/>
          <w:sz w:val="32"/>
          <w:szCs w:val="32"/>
        </w:rPr>
        <w:t>战略合作协议</w:t>
      </w:r>
      <w:r w:rsidRPr="007A4C65">
        <w:rPr>
          <w:rFonts w:ascii="仿宋" w:eastAsia="仿宋" w:hAnsi="仿宋" w:cs="仿宋" w:hint="eastAsia"/>
          <w:sz w:val="32"/>
          <w:szCs w:val="32"/>
        </w:rPr>
        <w:t>，</w:t>
      </w:r>
      <w:r w:rsidRPr="007A4C65">
        <w:rPr>
          <w:rFonts w:ascii="仿宋" w:eastAsia="仿宋" w:hAnsi="仿宋" w:cs="仿宋"/>
          <w:sz w:val="32"/>
          <w:szCs w:val="32"/>
        </w:rPr>
        <w:t>协议约定</w:t>
      </w:r>
      <w:r w:rsidRPr="007A4C65">
        <w:rPr>
          <w:rFonts w:ascii="仿宋" w:eastAsia="仿宋" w:hAnsi="仿宋" w:cs="仿宋" w:hint="eastAsia"/>
          <w:sz w:val="32"/>
          <w:szCs w:val="32"/>
        </w:rPr>
        <w:t>交通银行</w:t>
      </w:r>
      <w:r w:rsidRPr="007A4C65">
        <w:rPr>
          <w:rFonts w:ascii="仿宋" w:eastAsia="仿宋" w:hAnsi="仿宋" w:cs="仿宋" w:hint="eastAsia"/>
          <w:sz w:val="32"/>
          <w:szCs w:val="32"/>
        </w:rPr>
        <w:t>提供不少于300亿元</w:t>
      </w:r>
      <w:r w:rsidRPr="007A4C65">
        <w:rPr>
          <w:rFonts w:ascii="仿宋" w:eastAsia="仿宋" w:hAnsi="仿宋" w:cs="仿宋"/>
          <w:sz w:val="32"/>
          <w:szCs w:val="32"/>
        </w:rPr>
        <w:t>资金</w:t>
      </w:r>
      <w:r w:rsidRPr="007A4C65">
        <w:rPr>
          <w:rFonts w:ascii="仿宋" w:eastAsia="仿宋" w:hAnsi="仿宋" w:cs="仿宋" w:hint="eastAsia"/>
          <w:sz w:val="32"/>
          <w:szCs w:val="32"/>
        </w:rPr>
        <w:t>，</w:t>
      </w:r>
      <w:r w:rsidRPr="007A4C65">
        <w:rPr>
          <w:rFonts w:ascii="仿宋" w:eastAsia="仿宋" w:hAnsi="仿宋" w:cs="仿宋" w:hint="eastAsia"/>
          <w:sz w:val="32"/>
          <w:szCs w:val="32"/>
        </w:rPr>
        <w:t>围绕</w:t>
      </w:r>
      <w:r w:rsidRPr="007A4C65">
        <w:rPr>
          <w:rFonts w:ascii="仿宋" w:eastAsia="仿宋" w:hAnsi="仿宋" w:cs="仿宋" w:hint="eastAsia"/>
          <w:sz w:val="32"/>
          <w:szCs w:val="32"/>
        </w:rPr>
        <w:t>硚口</w:t>
      </w:r>
      <w:r w:rsidRPr="007A4C65">
        <w:rPr>
          <w:rFonts w:ascii="仿宋" w:eastAsia="仿宋" w:hAnsi="仿宋" w:cs="仿宋"/>
          <w:sz w:val="32"/>
          <w:szCs w:val="32"/>
        </w:rPr>
        <w:t>辖区</w:t>
      </w:r>
      <w:r w:rsidRPr="007A4C65">
        <w:rPr>
          <w:rFonts w:ascii="仿宋" w:eastAsia="仿宋" w:hAnsi="仿宋" w:cs="仿宋" w:hint="eastAsia"/>
          <w:sz w:val="32"/>
          <w:szCs w:val="32"/>
        </w:rPr>
        <w:t>城市更新、保障性租赁住房建设、城中村改造和“平急两用”公共基础设施等重大项目建设，提供综合化金融服务，共同推进硚口“三三战略”，实现合作共赢。</w:t>
      </w:r>
    </w:p>
    <w:p w:rsidR="00490A2C" w:rsidRDefault="007A4C65" w:rsidP="003B472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2023年</w:t>
      </w:r>
      <w:r w:rsidR="003B4729">
        <w:rPr>
          <w:rFonts w:ascii="仿宋" w:eastAsia="仿宋" w:hAnsi="仿宋" w:cs="仿宋" w:hint="eastAsia"/>
          <w:sz w:val="32"/>
          <w:szCs w:val="32"/>
        </w:rPr>
        <w:t>，</w:t>
      </w:r>
      <w:r>
        <w:rPr>
          <w:rFonts w:ascii="仿宋" w:eastAsia="仿宋" w:hAnsi="仿宋" w:cs="仿宋" w:hint="eastAsia"/>
          <w:sz w:val="32"/>
          <w:szCs w:val="32"/>
        </w:rPr>
        <w:t>我局</w:t>
      </w:r>
      <w:r>
        <w:rPr>
          <w:rFonts w:ascii="仿宋" w:eastAsia="仿宋" w:hAnsi="仿宋" w:cs="仿宋"/>
          <w:sz w:val="32"/>
          <w:szCs w:val="32"/>
        </w:rPr>
        <w:t>累计</w:t>
      </w:r>
      <w:r>
        <w:rPr>
          <w:rFonts w:ascii="仿宋" w:eastAsia="仿宋" w:hAnsi="仿宋" w:cs="仿宋" w:hint="eastAsia"/>
          <w:sz w:val="32"/>
          <w:szCs w:val="32"/>
        </w:rPr>
        <w:t>拨付各类</w:t>
      </w:r>
      <w:r>
        <w:rPr>
          <w:rFonts w:ascii="仿宋" w:eastAsia="仿宋" w:hAnsi="仿宋" w:cs="仿宋"/>
          <w:sz w:val="32"/>
          <w:szCs w:val="32"/>
        </w:rPr>
        <w:t>贷款贴息资金</w:t>
      </w:r>
      <w:r>
        <w:rPr>
          <w:rFonts w:ascii="仿宋" w:eastAsia="仿宋" w:hAnsi="仿宋" w:cs="仿宋" w:hint="eastAsia"/>
          <w:sz w:val="32"/>
          <w:szCs w:val="32"/>
        </w:rPr>
        <w:t>及</w:t>
      </w:r>
      <w:r>
        <w:rPr>
          <w:rFonts w:ascii="仿宋" w:eastAsia="仿宋" w:hAnsi="仿宋" w:cs="仿宋"/>
          <w:sz w:val="32"/>
          <w:szCs w:val="32"/>
        </w:rPr>
        <w:t>奖补资金</w:t>
      </w:r>
      <w:r w:rsidR="003B4729" w:rsidRPr="003B4729">
        <w:rPr>
          <w:rFonts w:ascii="仿宋" w:eastAsia="仿宋" w:hAnsi="仿宋" w:cs="仿宋"/>
          <w:sz w:val="32"/>
          <w:szCs w:val="32"/>
        </w:rPr>
        <w:t>8772.99</w:t>
      </w:r>
      <w:r w:rsidR="003B4729">
        <w:rPr>
          <w:rFonts w:ascii="仿宋" w:eastAsia="仿宋" w:hAnsi="仿宋" w:cs="仿宋" w:hint="eastAsia"/>
          <w:sz w:val="32"/>
          <w:szCs w:val="32"/>
        </w:rPr>
        <w:t>万元</w:t>
      </w:r>
      <w:r w:rsidR="003B4729">
        <w:rPr>
          <w:rFonts w:ascii="仿宋" w:eastAsia="仿宋" w:hAnsi="仿宋" w:cs="仿宋"/>
          <w:sz w:val="32"/>
          <w:szCs w:val="32"/>
        </w:rPr>
        <w:t>，</w:t>
      </w:r>
      <w:r w:rsidR="003B4729">
        <w:rPr>
          <w:rFonts w:ascii="仿宋" w:eastAsia="仿宋" w:hAnsi="仿宋" w:cs="仿宋" w:hint="eastAsia"/>
          <w:sz w:val="32"/>
          <w:szCs w:val="32"/>
        </w:rPr>
        <w:t>支持</w:t>
      </w:r>
      <w:r w:rsidR="003B4729">
        <w:rPr>
          <w:rFonts w:ascii="仿宋" w:eastAsia="仿宋" w:hAnsi="仿宋" w:cs="仿宋"/>
          <w:sz w:val="32"/>
          <w:szCs w:val="32"/>
        </w:rPr>
        <w:t>全</w:t>
      </w:r>
      <w:r w:rsidR="003B4729">
        <w:rPr>
          <w:rFonts w:ascii="仿宋" w:eastAsia="仿宋" w:hAnsi="仿宋" w:cs="仿宋" w:hint="eastAsia"/>
          <w:sz w:val="32"/>
          <w:szCs w:val="32"/>
        </w:rPr>
        <w:t>区市场</w:t>
      </w:r>
      <w:r w:rsidR="003B4729">
        <w:rPr>
          <w:rFonts w:ascii="仿宋" w:eastAsia="仿宋" w:hAnsi="仿宋" w:cs="仿宋"/>
          <w:sz w:val="32"/>
          <w:szCs w:val="32"/>
        </w:rPr>
        <w:t>主体纾困解难、</w:t>
      </w:r>
      <w:r w:rsidR="003B4729">
        <w:rPr>
          <w:rFonts w:ascii="仿宋" w:eastAsia="仿宋" w:hAnsi="仿宋" w:cs="仿宋" w:hint="eastAsia"/>
          <w:sz w:val="32"/>
          <w:szCs w:val="32"/>
        </w:rPr>
        <w:t>持续</w:t>
      </w:r>
      <w:r w:rsidR="003B4729">
        <w:rPr>
          <w:rFonts w:ascii="仿宋" w:eastAsia="仿宋" w:hAnsi="仿宋" w:cs="仿宋"/>
          <w:sz w:val="32"/>
          <w:szCs w:val="32"/>
        </w:rPr>
        <w:t>发展</w:t>
      </w:r>
      <w:r w:rsidR="003B4729">
        <w:rPr>
          <w:rFonts w:ascii="仿宋" w:eastAsia="仿宋" w:hAnsi="仿宋" w:cs="仿宋" w:hint="eastAsia"/>
          <w:sz w:val="32"/>
          <w:szCs w:val="32"/>
        </w:rPr>
        <w:t>。</w:t>
      </w:r>
      <w:r w:rsidR="003B4729">
        <w:rPr>
          <w:rFonts w:ascii="仿宋" w:eastAsia="仿宋" w:hAnsi="仿宋" w:cs="仿宋"/>
          <w:sz w:val="32"/>
          <w:szCs w:val="32"/>
        </w:rPr>
        <w:t>全区</w:t>
      </w:r>
      <w:r w:rsidR="003B4729">
        <w:rPr>
          <w:rFonts w:ascii="仿宋" w:eastAsia="仿宋" w:hAnsi="仿宋" w:cs="仿宋" w:hint="eastAsia"/>
          <w:sz w:val="32"/>
          <w:szCs w:val="32"/>
        </w:rPr>
        <w:t>省市上市</w:t>
      </w:r>
      <w:r w:rsidR="003B4729">
        <w:rPr>
          <w:rFonts w:ascii="仿宋" w:eastAsia="仿宋" w:hAnsi="仿宋" w:cs="仿宋"/>
          <w:sz w:val="32"/>
          <w:szCs w:val="32"/>
        </w:rPr>
        <w:t>“</w:t>
      </w:r>
      <w:r w:rsidR="003B4729">
        <w:rPr>
          <w:rFonts w:ascii="仿宋" w:eastAsia="仿宋" w:hAnsi="仿宋" w:cs="仿宋" w:hint="eastAsia"/>
          <w:sz w:val="32"/>
          <w:szCs w:val="32"/>
        </w:rPr>
        <w:t>金种子</w:t>
      </w:r>
      <w:r w:rsidR="003B4729">
        <w:rPr>
          <w:rFonts w:ascii="仿宋" w:eastAsia="仿宋" w:hAnsi="仿宋" w:cs="仿宋"/>
          <w:sz w:val="32"/>
          <w:szCs w:val="32"/>
        </w:rPr>
        <w:t>”</w:t>
      </w:r>
      <w:r w:rsidR="003B4729">
        <w:rPr>
          <w:rFonts w:ascii="仿宋" w:eastAsia="仿宋" w:hAnsi="仿宋" w:cs="仿宋" w:hint="eastAsia"/>
          <w:sz w:val="32"/>
          <w:szCs w:val="32"/>
        </w:rPr>
        <w:t>、“银种子”企业</w:t>
      </w:r>
      <w:r w:rsidR="003B4729">
        <w:rPr>
          <w:rFonts w:ascii="仿宋" w:eastAsia="仿宋" w:hAnsi="仿宋" w:cs="仿宋"/>
          <w:sz w:val="32"/>
          <w:szCs w:val="32"/>
        </w:rPr>
        <w:t>增加到</w:t>
      </w:r>
      <w:r w:rsidR="003B4729">
        <w:rPr>
          <w:rFonts w:ascii="仿宋" w:eastAsia="仿宋" w:hAnsi="仿宋" w:cs="仿宋" w:hint="eastAsia"/>
          <w:sz w:val="32"/>
          <w:szCs w:val="32"/>
        </w:rPr>
        <w:t>11家</w:t>
      </w:r>
      <w:r w:rsidR="003B4729">
        <w:rPr>
          <w:rFonts w:ascii="仿宋" w:eastAsia="仿宋" w:hAnsi="仿宋" w:cs="仿宋"/>
          <w:sz w:val="32"/>
          <w:szCs w:val="32"/>
        </w:rPr>
        <w:t>，</w:t>
      </w:r>
      <w:r w:rsidR="003B4729">
        <w:rPr>
          <w:rFonts w:ascii="仿宋" w:eastAsia="仿宋" w:hAnsi="仿宋" w:cs="仿宋" w:hint="eastAsia"/>
          <w:sz w:val="32"/>
          <w:szCs w:val="32"/>
        </w:rPr>
        <w:t>上市后备库</w:t>
      </w:r>
      <w:r w:rsidR="003B4729">
        <w:rPr>
          <w:rFonts w:ascii="仿宋" w:eastAsia="仿宋" w:hAnsi="仿宋" w:cs="仿宋"/>
          <w:sz w:val="32"/>
          <w:szCs w:val="32"/>
        </w:rPr>
        <w:t>进一步扩大。</w:t>
      </w:r>
      <w:bookmarkStart w:id="0" w:name="_GoBack"/>
      <w:bookmarkEnd w:id="0"/>
    </w:p>
    <w:p w:rsidR="00490A2C" w:rsidRDefault="00490A2C">
      <w:pPr>
        <w:pStyle w:val="a3"/>
        <w:widowControl/>
        <w:spacing w:line="560" w:lineRule="exact"/>
        <w:ind w:firstLineChars="200" w:firstLine="640"/>
        <w:jc w:val="both"/>
        <w:rPr>
          <w:rFonts w:ascii="仿宋" w:eastAsia="仿宋" w:hAnsi="仿宋" w:cs="仿宋"/>
          <w:sz w:val="32"/>
          <w:szCs w:val="32"/>
        </w:rPr>
      </w:pPr>
    </w:p>
    <w:p w:rsidR="00490A2C" w:rsidRDefault="00490A2C">
      <w:pPr>
        <w:pStyle w:val="a3"/>
        <w:widowControl/>
        <w:spacing w:line="560" w:lineRule="exact"/>
        <w:ind w:firstLineChars="200" w:firstLine="640"/>
        <w:jc w:val="both"/>
        <w:rPr>
          <w:rFonts w:ascii="仿宋" w:eastAsia="仿宋" w:hAnsi="仿宋" w:cs="仿宋"/>
          <w:sz w:val="32"/>
          <w:szCs w:val="32"/>
        </w:rPr>
      </w:pPr>
    </w:p>
    <w:p w:rsidR="00490A2C" w:rsidRDefault="00EF50D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硚口区地方金融工作局</w:t>
      </w:r>
    </w:p>
    <w:p w:rsidR="00490A2C" w:rsidRDefault="00EF50D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2024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
    <w:p w:rsidR="00490A2C" w:rsidRDefault="00490A2C">
      <w:pPr>
        <w:pStyle w:val="a3"/>
        <w:widowControl/>
        <w:spacing w:line="360" w:lineRule="auto"/>
        <w:ind w:firstLineChars="200" w:firstLine="640"/>
        <w:jc w:val="both"/>
        <w:rPr>
          <w:rFonts w:ascii="仿宋" w:eastAsia="仿宋" w:hAnsi="仿宋" w:cs="仿宋"/>
          <w:sz w:val="32"/>
          <w:szCs w:val="32"/>
        </w:rPr>
      </w:pPr>
    </w:p>
    <w:sectPr w:rsidR="00490A2C">
      <w:pgSz w:w="11906" w:h="16838"/>
      <w:pgMar w:top="1417" w:right="1304"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0DF" w:rsidRDefault="00EF50DF" w:rsidP="007A4C65">
      <w:r>
        <w:separator/>
      </w:r>
    </w:p>
  </w:endnote>
  <w:endnote w:type="continuationSeparator" w:id="0">
    <w:p w:rsidR="00EF50DF" w:rsidRDefault="00EF50DF" w:rsidP="007A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09985F0C-F750-49BF-A807-733643BFDF02}"/>
  </w:font>
  <w:font w:name="仿宋_GB2312">
    <w:altName w:val="仿宋"/>
    <w:charset w:val="86"/>
    <w:family w:val="auto"/>
    <w:pitch w:val="default"/>
    <w:sig w:usb0="00000000" w:usb1="00000000" w:usb2="00000000" w:usb3="00000000" w:csb0="00040000" w:csb1="00000000"/>
    <w:embedRegular r:id="rId2" w:subsetted="1" w:fontKey="{91855D5B-D723-443A-992D-D916365593C3}"/>
  </w:font>
  <w:font w:name="黑体">
    <w:altName w:val="SimHei"/>
    <w:panose1 w:val="02010609060101010101"/>
    <w:charset w:val="86"/>
    <w:family w:val="modern"/>
    <w:pitch w:val="fixed"/>
    <w:sig w:usb0="800002BF" w:usb1="38CF7CFA" w:usb2="00000016" w:usb3="00000000" w:csb0="00040001" w:csb1="00000000"/>
    <w:embedRegular r:id="rId3" w:subsetted="1" w:fontKey="{5514149E-8090-467C-8DAE-A5A4F8F7582C}"/>
  </w:font>
  <w:font w:name="仿宋">
    <w:panose1 w:val="02010609060101010101"/>
    <w:charset w:val="86"/>
    <w:family w:val="modern"/>
    <w:pitch w:val="fixed"/>
    <w:sig w:usb0="800002BF" w:usb1="38CF7CFA" w:usb2="00000016" w:usb3="00000000" w:csb0="00040001" w:csb1="00000000"/>
    <w:embedRegular r:id="rId4" w:subsetted="1" w:fontKey="{811C37D0-5518-4E30-82F5-0E0C31A699B0}"/>
  </w:font>
  <w:font w:name="楷体">
    <w:panose1 w:val="02010609060101010101"/>
    <w:charset w:val="86"/>
    <w:family w:val="modern"/>
    <w:pitch w:val="fixed"/>
    <w:sig w:usb0="800002BF" w:usb1="38CF7CFA" w:usb2="00000016" w:usb3="00000000" w:csb0="00040001" w:csb1="00000000"/>
    <w:embedRegular r:id="rId5" w:subsetted="1" w:fontKey="{8E4774E0-4CD9-46D7-9F2C-564AF1977302}"/>
  </w:font>
  <w:font w:name="方正楷体_GBK">
    <w:charset w:val="86"/>
    <w:family w:val="auto"/>
    <w:pitch w:val="default"/>
    <w:sig w:usb0="800002BF" w:usb1="38CF7CFA" w:usb2="00000016"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0DF" w:rsidRDefault="00EF50DF" w:rsidP="007A4C65">
      <w:r>
        <w:separator/>
      </w:r>
    </w:p>
  </w:footnote>
  <w:footnote w:type="continuationSeparator" w:id="0">
    <w:p w:rsidR="00EF50DF" w:rsidRDefault="00EF50DF" w:rsidP="007A4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NjJhNGU3ZWUzMzU0YTMyN2ViN2Q3OTBmNzZmNmMifQ=="/>
  </w:docVars>
  <w:rsids>
    <w:rsidRoot w:val="238B1E27"/>
    <w:rsid w:val="DF7FB6E3"/>
    <w:rsid w:val="003B4729"/>
    <w:rsid w:val="00490A2C"/>
    <w:rsid w:val="007A4C65"/>
    <w:rsid w:val="00EF50DF"/>
    <w:rsid w:val="0159126E"/>
    <w:rsid w:val="0DF24779"/>
    <w:rsid w:val="1D717A77"/>
    <w:rsid w:val="238B1E27"/>
    <w:rsid w:val="246E2621"/>
    <w:rsid w:val="27CE4494"/>
    <w:rsid w:val="33CE1F2A"/>
    <w:rsid w:val="380214FF"/>
    <w:rsid w:val="397119C0"/>
    <w:rsid w:val="3E7F4F05"/>
    <w:rsid w:val="44AF7806"/>
    <w:rsid w:val="4EB70C03"/>
    <w:rsid w:val="52A030C3"/>
    <w:rsid w:val="5FF0D4BB"/>
    <w:rsid w:val="6697F0FD"/>
    <w:rsid w:val="729F12A7"/>
    <w:rsid w:val="73465BAA"/>
    <w:rsid w:val="75D31F65"/>
    <w:rsid w:val="79FB1236"/>
    <w:rsid w:val="7B2E0210"/>
    <w:rsid w:val="7FD70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55E4C"/>
  <w15:docId w15:val="{C88930A9-060F-48EF-AF2C-962D0CD8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autoRedefine/>
    <w:qFormat/>
    <w:pPr>
      <w:jc w:val="left"/>
    </w:pPr>
    <w:rPr>
      <w:rFonts w:cs="Times New Roman"/>
      <w:kern w:val="0"/>
      <w:sz w:val="24"/>
    </w:rPr>
  </w:style>
  <w:style w:type="character" w:styleId="a4">
    <w:name w:val="Hyperlink"/>
    <w:basedOn w:val="a0"/>
    <w:autoRedefine/>
    <w:qFormat/>
    <w:rPr>
      <w:color w:val="0000FF"/>
      <w:u w:val="single"/>
    </w:rPr>
  </w:style>
  <w:style w:type="paragraph" w:styleId="a5">
    <w:name w:val="header"/>
    <w:basedOn w:val="a"/>
    <w:link w:val="a6"/>
    <w:rsid w:val="007A4C6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A4C65"/>
    <w:rPr>
      <w:rFonts w:asciiTheme="minorHAnsi" w:eastAsiaTheme="minorEastAsia" w:hAnsiTheme="minorHAnsi" w:cstheme="minorBidi"/>
      <w:kern w:val="2"/>
      <w:sz w:val="18"/>
      <w:szCs w:val="18"/>
    </w:rPr>
  </w:style>
  <w:style w:type="paragraph" w:styleId="a7">
    <w:name w:val="footer"/>
    <w:basedOn w:val="a"/>
    <w:link w:val="a8"/>
    <w:rsid w:val="007A4C65"/>
    <w:pPr>
      <w:tabs>
        <w:tab w:val="center" w:pos="4153"/>
        <w:tab w:val="right" w:pos="8306"/>
      </w:tabs>
      <w:snapToGrid w:val="0"/>
      <w:jc w:val="left"/>
    </w:pPr>
    <w:rPr>
      <w:sz w:val="18"/>
      <w:szCs w:val="18"/>
    </w:rPr>
  </w:style>
  <w:style w:type="character" w:customStyle="1" w:styleId="a8">
    <w:name w:val="页脚 字符"/>
    <w:basedOn w:val="a0"/>
    <w:link w:val="a7"/>
    <w:rsid w:val="007A4C6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439</Words>
  <Characters>2507</Characters>
  <Application>Microsoft Office Word</Application>
  <DocSecurity>0</DocSecurity>
  <Lines>20</Lines>
  <Paragraphs>5</Paragraphs>
  <ScaleCrop>false</ScaleCrop>
  <Company>QKPC</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WPS_1624785580</dc:creator>
  <cp:lastModifiedBy>QKPC</cp:lastModifiedBy>
  <cp:revision>2</cp:revision>
  <dcterms:created xsi:type="dcterms:W3CDTF">2021-12-22T23:19:00Z</dcterms:created>
  <dcterms:modified xsi:type="dcterms:W3CDTF">2024-01-18T01:19:00Z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777F53E91E564B3B96F5A1A435D08748</vt:lpwstr>
  </property>
</Properties>
</file>