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硚口区地方金融工作局2022年度政府信息公开工作年度报告</w:t>
      </w:r>
    </w:p>
    <w:p>
      <w:pPr>
        <w:pStyle w:val="3"/>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b w:val="0"/>
          <w:bCs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硚口区地方金融工作局根据《中华人民共和国政府信息公开条例》和上级有关要求，不断加强领导，规范运作，强化监督，认真落实信息公开内容，探索拓宽政府信息公开渠道，加强信息公开基础性工作，进一步明确责任，稳妥推进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区地方金融工作局按照硚口区《2022年度政府信息公开重点工作的通知》要求主动公开了机关职能、机构设置、办公地址、联系方式、局领导姓名及职务，及时发布了本单位财政预算决算、购买服务目录等信息。</w:t>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721985" cy="3183255"/>
            <wp:effectExtent l="0" t="0" r="12065" b="17145"/>
            <wp:docPr id="2" name="图片 2" descr="BADAZ9ND2OKKUEXDUUCL(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DAZ9ND2OKKUEXDUUCL(M2"/>
                    <pic:cNvPicPr>
                      <a:picLocks noChangeAspect="1"/>
                    </pic:cNvPicPr>
                  </pic:nvPicPr>
                  <pic:blipFill>
                    <a:blip r:embed="rId4"/>
                    <a:stretch>
                      <a:fillRect/>
                    </a:stretch>
                  </pic:blipFill>
                  <pic:spPr>
                    <a:xfrm>
                      <a:off x="0" y="0"/>
                      <a:ext cx="5721985" cy="3183255"/>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2022年硚口区地方金融工作局未收到和处理政府信息公开申请。</w:t>
      </w:r>
    </w:p>
    <w:p>
      <w:pPr>
        <w:pStyle w:val="2"/>
        <w:rPr>
          <w:rFonts w:hint="eastAsia"/>
          <w:lang w:val="en-US" w:eastAsia="zh-CN"/>
        </w:rPr>
      </w:pPr>
      <w:r>
        <w:rPr>
          <w:rFonts w:hint="eastAsia"/>
          <w:lang w:val="en-US" w:eastAsia="zh-CN"/>
        </w:rPr>
        <w:drawing>
          <wp:inline distT="0" distB="0" distL="114300" distR="114300">
            <wp:extent cx="5721350" cy="7188200"/>
            <wp:effectExtent l="0" t="0" r="12700" b="12700"/>
            <wp:docPr id="5" name="图片 5" descr="K%)6{4XXCB55{4Z(VV2~E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K%)6{4XXCB55{4Z(VV2~E2L"/>
                    <pic:cNvPicPr>
                      <a:picLocks noChangeAspect="1"/>
                    </pic:cNvPicPr>
                  </pic:nvPicPr>
                  <pic:blipFill>
                    <a:blip r:embed="rId5"/>
                    <a:stretch>
                      <a:fillRect/>
                    </a:stretch>
                  </pic:blipFill>
                  <pic:spPr>
                    <a:xfrm>
                      <a:off x="0" y="0"/>
                      <a:ext cx="5721350" cy="7188200"/>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2022年度，硚口区地方金融工作局无因政府信息公开工作被提起行政诉讼和行政复议。</w:t>
      </w:r>
    </w:p>
    <w:p>
      <w:pPr>
        <w:pStyle w:val="2"/>
        <w:rPr>
          <w:rFonts w:hint="eastAsia"/>
          <w:lang w:val="en-US" w:eastAsia="zh-CN"/>
        </w:rPr>
      </w:pPr>
      <w:r>
        <w:rPr>
          <w:rFonts w:hint="eastAsia"/>
          <w:lang w:val="en-US" w:eastAsia="zh-CN"/>
        </w:rPr>
        <w:drawing>
          <wp:inline distT="0" distB="0" distL="114300" distR="114300">
            <wp:extent cx="5720080" cy="1630045"/>
            <wp:effectExtent l="0" t="0" r="13970" b="8255"/>
            <wp:docPr id="6" name="图片 6" descr="{Z8WHU2[8AQ0AIU972Y@Q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Z8WHU2[8AQ0AIU972Y@Q1Q"/>
                    <pic:cNvPicPr>
                      <a:picLocks noChangeAspect="1"/>
                    </pic:cNvPicPr>
                  </pic:nvPicPr>
                  <pic:blipFill>
                    <a:blip r:embed="rId6"/>
                    <a:stretch>
                      <a:fillRect/>
                    </a:stretch>
                  </pic:blipFill>
                  <pic:spPr>
                    <a:xfrm>
                      <a:off x="0" y="0"/>
                      <a:ext cx="5720080" cy="1630045"/>
                    </a:xfrm>
                    <a:prstGeom prst="rect">
                      <a:avLst/>
                    </a:prstGeom>
                  </pic:spPr>
                </pic:pic>
              </a:graphicData>
            </a:graphic>
          </wp:inline>
        </w:drawing>
      </w:r>
      <w:bookmarkStart w:id="0" w:name="_GoBack"/>
      <w:bookmarkEnd w:id="0"/>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i w:val="0"/>
          <w:caps w:val="0"/>
          <w:color w:val="333333"/>
          <w:spacing w:val="0"/>
          <w:sz w:val="32"/>
          <w:szCs w:val="32"/>
          <w:highlight w:val="yellow"/>
          <w:shd w:val="clear" w:fill="FFFFFF"/>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（一）上年度存在的问题及在本年度的改进情况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按相关工作要求自查，</w:t>
      </w:r>
      <w:r>
        <w:rPr>
          <w:rFonts w:hint="eastAsia" w:ascii="仿宋" w:hAnsi="仿宋" w:eastAsia="仿宋" w:cs="仿宋"/>
          <w:b w:val="0"/>
          <w:bCs w:val="0"/>
          <w:color w:val="auto"/>
          <w:sz w:val="32"/>
          <w:szCs w:val="32"/>
          <w:lang w:val="en-US" w:eastAsia="zh-CN"/>
        </w:rPr>
        <w:t>政府信息公开的准确性、完整性需要进一步提高。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针对以上问题，已</w:t>
      </w:r>
      <w:r>
        <w:rPr>
          <w:rFonts w:hint="eastAsia" w:ascii="仿宋" w:hAnsi="仿宋" w:eastAsia="仿宋" w:cs="仿宋"/>
          <w:b w:val="0"/>
          <w:bCs w:val="0"/>
          <w:color w:val="auto"/>
          <w:sz w:val="32"/>
          <w:szCs w:val="32"/>
          <w:lang w:val="en-US" w:eastAsia="zh-CN"/>
        </w:rPr>
        <w:t>强化对政务、信息公开工作的领导和监督，加大公开工作审核力度，切实落实工作责任，确保政府信息公开工作落到实处。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（二）本年度存在的问题及在下年度的改进措施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信息公开工作基础薄弱，政务公开业务水平有待进一步提高，政务公开内容不够全面，信息更新还需要更及时。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针对上述问题，下一步要加强学习和培训。认真组织学习《中华人民共和国政府信息公开条例》，严格按照规定落实信息公开工作。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kern w:val="0"/>
          <w:sz w:val="32"/>
          <w:szCs w:val="32"/>
          <w:highlight w:val="none"/>
          <w:lang w:val="en-US" w:eastAsia="zh-CN" w:bidi="ar"/>
        </w:rPr>
        <w:t>2022年度我单位收取政府信息处理费为0元</w:t>
      </w:r>
      <w:r>
        <w:rPr>
          <w:rFonts w:hint="eastAsia" w:ascii="仿宋" w:hAnsi="仿宋" w:eastAsia="仿宋" w:cs="仿宋"/>
          <w:b w:val="0"/>
          <w:bCs w:val="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2022年我局共承办人大议案和政协提案24件，主办人大议案4件、政协提案3件，协办人大议案7件、政协提案10件，满意率100%。</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硚口区地方金融工作局</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2023年1月6日</w:t>
      </w:r>
    </w:p>
    <w:p>
      <w:pPr>
        <w:rPr>
          <w:rFonts w:hint="default"/>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firstLine="640" w:firstLineChars="200"/>
        <w:jc w:val="both"/>
        <w:textAlignment w:val="auto"/>
        <w:rPr>
          <w:rFonts w:hint="eastAsia" w:ascii="仿宋" w:hAnsi="仿宋" w:eastAsia="仿宋" w:cs="仿宋"/>
          <w:sz w:val="32"/>
          <w:szCs w:val="32"/>
          <w:lang w:val="en-US" w:eastAsia="zh-CN"/>
        </w:rPr>
      </w:pP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147D24-F986-4342-8386-2BB8E9FCC1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080CCA39-9ABE-4392-80F0-4D6420A44008}"/>
  </w:font>
  <w:font w:name="楷体">
    <w:panose1 w:val="02010609060101010101"/>
    <w:charset w:val="86"/>
    <w:family w:val="auto"/>
    <w:pitch w:val="default"/>
    <w:sig w:usb0="800002BF" w:usb1="38CF7CFA" w:usb2="00000016" w:usb3="00000000" w:csb0="00040001" w:csb1="00000000"/>
    <w:embedRegular r:id="rId3" w:fontKey="{95B98612-4A8E-4418-B031-B5ABBAB84692}"/>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D4BCF"/>
    <w:multiLevelType w:val="singleLevel"/>
    <w:tmpl w:val="4D1D4BC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JhNGU3ZWUzMzU0YTMyN2ViN2Q3OTBmNzZmNmMifQ=="/>
  </w:docVars>
  <w:rsids>
    <w:rsidRoot w:val="238B1E27"/>
    <w:rsid w:val="238B1E27"/>
    <w:rsid w:val="23AC2DF9"/>
    <w:rsid w:val="246E2621"/>
    <w:rsid w:val="270B757C"/>
    <w:rsid w:val="31F828EE"/>
    <w:rsid w:val="345B6845"/>
    <w:rsid w:val="380214FF"/>
    <w:rsid w:val="397119C0"/>
    <w:rsid w:val="46876784"/>
    <w:rsid w:val="4F541B16"/>
    <w:rsid w:val="565407E9"/>
    <w:rsid w:val="57170F46"/>
    <w:rsid w:val="58567FA7"/>
    <w:rsid w:val="5AD24415"/>
    <w:rsid w:val="5DA10A8B"/>
    <w:rsid w:val="67951D6A"/>
    <w:rsid w:val="68D83F61"/>
    <w:rsid w:val="79FB1236"/>
    <w:rsid w:val="C7DDD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1597</Characters>
  <Lines>0</Lines>
  <Paragraphs>0</Paragraphs>
  <TotalTime>9</TotalTime>
  <ScaleCrop>false</ScaleCrop>
  <LinksUpToDate>false</LinksUpToDate>
  <CharactersWithSpaces>1858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WPS_1612424334</cp:lastModifiedBy>
  <dcterms:modified xsi:type="dcterms:W3CDTF">2023-01-16T06:43:10Z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BEC9372BAB9F4BB6ADE2A97F52A464F2</vt:lpwstr>
  </property>
</Properties>
</file>