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A2E92">
      <w:pPr>
        <w:spacing w:line="560" w:lineRule="exact"/>
        <w:jc w:val="center"/>
        <w:rPr>
          <w:rFonts w:hint="eastAsia" w:ascii="黑体" w:hAnsi="黑体" w:eastAsia="黑体" w:cs="黑体"/>
          <w:sz w:val="44"/>
          <w:szCs w:val="44"/>
        </w:rPr>
      </w:pPr>
      <w:bookmarkStart w:id="2" w:name="_GoBack"/>
      <w:r>
        <w:rPr>
          <w:rFonts w:hint="eastAsia" w:ascii="黑体" w:hAnsi="黑体" w:eastAsia="黑体" w:cs="黑体"/>
          <w:sz w:val="44"/>
          <w:szCs w:val="44"/>
        </w:rPr>
        <w:t>武汉市硚口区宝丰街道办事处涉企</w:t>
      </w:r>
    </w:p>
    <w:p w14:paraId="74076C38">
      <w:pPr>
        <w:tabs>
          <w:tab w:val="center" w:pos="4153"/>
          <w:tab w:val="left" w:pos="7054"/>
        </w:tabs>
        <w:spacing w:line="560" w:lineRule="exact"/>
        <w:jc w:val="left"/>
        <w:rPr>
          <w:rFonts w:ascii="国标黑体" w:hAnsi="国标黑体" w:eastAsia="国标黑体" w:cs="国标黑体"/>
          <w:sz w:val="32"/>
          <w:szCs w:val="32"/>
        </w:rPr>
      </w:pPr>
      <w:r>
        <w:rPr>
          <w:rFonts w:hint="eastAsia" w:ascii="黑体" w:hAnsi="黑体" w:eastAsia="黑体" w:cs="黑体"/>
          <w:sz w:val="44"/>
          <w:szCs w:val="44"/>
        </w:rPr>
        <w:tab/>
      </w:r>
      <w:r>
        <w:rPr>
          <w:rFonts w:hint="eastAsia" w:ascii="黑体" w:hAnsi="黑体" w:eastAsia="黑体" w:cs="黑体"/>
          <w:sz w:val="44"/>
          <w:szCs w:val="44"/>
        </w:rPr>
        <w:t>行政检查公示</w:t>
      </w:r>
      <w:r>
        <w:rPr>
          <w:rFonts w:ascii="CESI小标宋-GB18030" w:hAnsi="CESI小标宋-GB18030" w:eastAsia="CESI小标宋-GB18030" w:cs="CESI小标宋-GB18030"/>
          <w:sz w:val="44"/>
          <w:szCs w:val="44"/>
        </w:rPr>
        <w:tab/>
      </w:r>
    </w:p>
    <w:p w14:paraId="4FE19C47">
      <w:pPr>
        <w:spacing w:line="360" w:lineRule="auto"/>
        <w:ind w:firstLine="640" w:firstLineChars="200"/>
        <w:rPr>
          <w:rFonts w:hint="eastAsia" w:ascii="黑体" w:hAnsi="黑体" w:eastAsia="黑体" w:cs="黑体"/>
          <w:sz w:val="32"/>
          <w:szCs w:val="32"/>
        </w:rPr>
      </w:pPr>
    </w:p>
    <w:p w14:paraId="7E846D11">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一、行政检查主体</w:t>
      </w:r>
    </w:p>
    <w:p w14:paraId="6025BF6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武汉市硚口区宝丰街道办事处</w:t>
      </w:r>
    </w:p>
    <w:p w14:paraId="11D33197">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二、行政检查事项和依据</w:t>
      </w:r>
    </w:p>
    <w:tbl>
      <w:tblPr>
        <w:tblStyle w:val="6"/>
        <w:tblW w:w="8522"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696"/>
        <w:gridCol w:w="1925"/>
        <w:gridCol w:w="3816"/>
      </w:tblGrid>
      <w:tr w14:paraId="14FAC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85" w:type="dxa"/>
          </w:tcPr>
          <w:p w14:paraId="0794960B">
            <w:pPr>
              <w:spacing w:line="560" w:lineRule="exact"/>
              <w:jc w:val="left"/>
              <w:rPr>
                <w:rFonts w:cs="仿宋" w:asciiTheme="majorEastAsia" w:hAnsiTheme="majorEastAsia" w:eastAsiaTheme="majorEastAsia"/>
                <w:b/>
                <w:bCs/>
                <w:kern w:val="0"/>
                <w:sz w:val="32"/>
                <w:szCs w:val="32"/>
              </w:rPr>
            </w:pPr>
            <w:r>
              <w:rPr>
                <w:rFonts w:hint="eastAsia" w:cs="仿宋" w:asciiTheme="majorEastAsia" w:hAnsiTheme="majorEastAsia" w:eastAsiaTheme="majorEastAsia"/>
                <w:b/>
                <w:bCs/>
                <w:kern w:val="0"/>
                <w:sz w:val="32"/>
                <w:szCs w:val="32"/>
              </w:rPr>
              <w:t>序号</w:t>
            </w:r>
          </w:p>
        </w:tc>
        <w:tc>
          <w:tcPr>
            <w:tcW w:w="1696" w:type="dxa"/>
          </w:tcPr>
          <w:p w14:paraId="6648738B">
            <w:pPr>
              <w:spacing w:line="560" w:lineRule="exact"/>
              <w:jc w:val="left"/>
              <w:rPr>
                <w:rFonts w:cs="仿宋" w:asciiTheme="majorEastAsia" w:hAnsiTheme="majorEastAsia" w:eastAsiaTheme="majorEastAsia"/>
                <w:b/>
                <w:bCs/>
                <w:kern w:val="0"/>
                <w:sz w:val="32"/>
                <w:szCs w:val="32"/>
              </w:rPr>
            </w:pPr>
            <w:r>
              <w:rPr>
                <w:rFonts w:hint="eastAsia" w:cs="仿宋" w:asciiTheme="majorEastAsia" w:hAnsiTheme="majorEastAsia" w:eastAsiaTheme="majorEastAsia"/>
                <w:b/>
                <w:bCs/>
                <w:kern w:val="0"/>
                <w:sz w:val="32"/>
                <w:szCs w:val="32"/>
              </w:rPr>
              <w:t>检查事项</w:t>
            </w:r>
          </w:p>
        </w:tc>
        <w:tc>
          <w:tcPr>
            <w:tcW w:w="1925" w:type="dxa"/>
          </w:tcPr>
          <w:p w14:paraId="7CA48BD4">
            <w:pPr>
              <w:spacing w:line="560" w:lineRule="exact"/>
              <w:jc w:val="left"/>
              <w:rPr>
                <w:rFonts w:cs="仿宋" w:asciiTheme="majorEastAsia" w:hAnsiTheme="majorEastAsia" w:eastAsiaTheme="majorEastAsia"/>
                <w:b/>
                <w:bCs/>
                <w:kern w:val="0"/>
                <w:sz w:val="32"/>
                <w:szCs w:val="32"/>
              </w:rPr>
            </w:pPr>
            <w:r>
              <w:rPr>
                <w:rFonts w:hint="eastAsia" w:cs="仿宋" w:asciiTheme="majorEastAsia" w:hAnsiTheme="majorEastAsia" w:eastAsiaTheme="majorEastAsia"/>
                <w:b/>
                <w:bCs/>
                <w:kern w:val="0"/>
                <w:sz w:val="32"/>
                <w:szCs w:val="32"/>
              </w:rPr>
              <w:t>检查对象</w:t>
            </w:r>
          </w:p>
        </w:tc>
        <w:tc>
          <w:tcPr>
            <w:tcW w:w="3816" w:type="dxa"/>
          </w:tcPr>
          <w:p w14:paraId="29B41546">
            <w:pPr>
              <w:spacing w:line="560" w:lineRule="exact"/>
              <w:jc w:val="left"/>
              <w:rPr>
                <w:rFonts w:cs="仿宋" w:asciiTheme="majorEastAsia" w:hAnsiTheme="majorEastAsia" w:eastAsiaTheme="majorEastAsia"/>
                <w:b/>
                <w:bCs/>
                <w:kern w:val="0"/>
                <w:sz w:val="32"/>
                <w:szCs w:val="32"/>
              </w:rPr>
            </w:pPr>
            <w:r>
              <w:rPr>
                <w:rFonts w:hint="eastAsia" w:cs="仿宋" w:asciiTheme="majorEastAsia" w:hAnsiTheme="majorEastAsia" w:eastAsiaTheme="majorEastAsia"/>
                <w:b/>
                <w:bCs/>
                <w:kern w:val="0"/>
                <w:sz w:val="32"/>
                <w:szCs w:val="32"/>
              </w:rPr>
              <w:t>检查依据（相关法律法规等规定）</w:t>
            </w:r>
          </w:p>
        </w:tc>
      </w:tr>
      <w:tr w14:paraId="4020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85" w:type="dxa"/>
          </w:tcPr>
          <w:p w14:paraId="5252A3D6">
            <w:pPr>
              <w:spacing w:line="360" w:lineRule="auto"/>
              <w:rPr>
                <w:rFonts w:cs="宋体" w:asciiTheme="majorEastAsia" w:hAnsiTheme="majorEastAsia" w:eastAsiaTheme="majorEastAsia"/>
                <w:b/>
                <w:bCs/>
                <w:kern w:val="0"/>
                <w:sz w:val="32"/>
                <w:szCs w:val="32"/>
              </w:rPr>
            </w:pPr>
            <w:r>
              <w:rPr>
                <w:rFonts w:cs="宋体" w:asciiTheme="majorEastAsia" w:hAnsiTheme="majorEastAsia" w:eastAsiaTheme="majorEastAsia"/>
                <w:b/>
                <w:bCs/>
                <w:kern w:val="0"/>
                <w:sz w:val="32"/>
                <w:szCs w:val="32"/>
              </w:rPr>
              <w:t>1</w:t>
            </w:r>
          </w:p>
        </w:tc>
        <w:tc>
          <w:tcPr>
            <w:tcW w:w="1696" w:type="dxa"/>
          </w:tcPr>
          <w:p w14:paraId="36502957">
            <w:pPr>
              <w:spacing w:line="360" w:lineRule="auto"/>
              <w:rPr>
                <w:rFonts w:cs="宋体" w:asciiTheme="majorEastAsia" w:hAnsiTheme="majorEastAsia" w:eastAsiaTheme="majorEastAsia"/>
                <w:b/>
                <w:bCs/>
                <w:kern w:val="0"/>
                <w:sz w:val="32"/>
                <w:szCs w:val="32"/>
              </w:rPr>
            </w:pPr>
            <w:r>
              <w:rPr>
                <w:rFonts w:hint="eastAsia" w:cs="宋体" w:asciiTheme="majorEastAsia" w:hAnsiTheme="majorEastAsia" w:eastAsiaTheme="majorEastAsia"/>
                <w:b/>
                <w:bCs/>
                <w:kern w:val="0"/>
                <w:sz w:val="32"/>
                <w:szCs w:val="32"/>
              </w:rPr>
              <w:t>对市容市貌的监督检查</w:t>
            </w:r>
          </w:p>
        </w:tc>
        <w:tc>
          <w:tcPr>
            <w:tcW w:w="1925" w:type="dxa"/>
          </w:tcPr>
          <w:p w14:paraId="27F9DECE">
            <w:pPr>
              <w:spacing w:line="360" w:lineRule="auto"/>
              <w:rPr>
                <w:rFonts w:cs="宋体" w:asciiTheme="majorEastAsia" w:hAnsiTheme="majorEastAsia" w:eastAsiaTheme="majorEastAsia"/>
                <w:b/>
                <w:bCs/>
                <w:kern w:val="0"/>
                <w:sz w:val="32"/>
                <w:szCs w:val="32"/>
              </w:rPr>
            </w:pPr>
            <w:r>
              <w:rPr>
                <w:rFonts w:hint="eastAsia" w:cs="宋体" w:asciiTheme="majorEastAsia" w:hAnsiTheme="majorEastAsia" w:eastAsiaTheme="majorEastAsia"/>
                <w:b/>
                <w:bCs/>
                <w:kern w:val="0"/>
                <w:sz w:val="32"/>
                <w:szCs w:val="32"/>
              </w:rPr>
              <w:t>辖区内相关单位</w:t>
            </w:r>
          </w:p>
        </w:tc>
        <w:tc>
          <w:tcPr>
            <w:tcW w:w="3816" w:type="dxa"/>
          </w:tcPr>
          <w:p w14:paraId="7296C02C">
            <w:pPr>
              <w:spacing w:line="360" w:lineRule="auto"/>
              <w:rPr>
                <w:rFonts w:cs="宋体" w:asciiTheme="majorEastAsia" w:hAnsiTheme="majorEastAsia" w:eastAsiaTheme="majorEastAsia"/>
                <w:b/>
                <w:bCs/>
                <w:kern w:val="0"/>
                <w:sz w:val="32"/>
                <w:szCs w:val="32"/>
              </w:rPr>
            </w:pPr>
            <w:r>
              <w:rPr>
                <w:rFonts w:hint="eastAsia" w:cs="宋体" w:asciiTheme="majorEastAsia" w:hAnsiTheme="majorEastAsia" w:eastAsiaTheme="majorEastAsia"/>
                <w:b/>
                <w:bCs/>
                <w:kern w:val="0"/>
                <w:sz w:val="32"/>
                <w:szCs w:val="32"/>
              </w:rPr>
              <w:t>《武汉市市容环境卫生管理条例》第十三条</w:t>
            </w:r>
          </w:p>
        </w:tc>
      </w:tr>
    </w:tbl>
    <w:p w14:paraId="1E99881D">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三、行政检查频次上限及标准</w:t>
      </w:r>
    </w:p>
    <w:p w14:paraId="1D3AA8A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以上级司法行政部门、赋权部门等下发的街道涉企行政检查相关通知为涉企行政检查工作执行标准。</w:t>
      </w:r>
    </w:p>
    <w:p w14:paraId="733672AD">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四、专项检查计划</w:t>
      </w:r>
    </w:p>
    <w:p w14:paraId="7075E356">
      <w:pPr>
        <w:spacing w:line="560" w:lineRule="exact"/>
        <w:ind w:firstLine="640" w:firstLineChars="200"/>
        <w:rPr>
          <w:rFonts w:hint="eastAsia" w:ascii="仿宋_GB2312" w:hAnsi="仿宋_GB2312" w:eastAsia="仿宋_GB2312" w:cs="仿宋_GB2312"/>
          <w:sz w:val="32"/>
          <w:szCs w:val="32"/>
        </w:rPr>
      </w:pPr>
      <w:bookmarkStart w:id="0" w:name="OLE_LINK393"/>
      <w:bookmarkStart w:id="1" w:name="OLE_LINK394"/>
      <w:r>
        <w:rPr>
          <w:rFonts w:hint="eastAsia" w:ascii="仿宋_GB2312" w:hAnsi="仿宋_GB2312" w:eastAsia="仿宋_GB2312" w:cs="仿宋_GB2312"/>
          <w:sz w:val="32"/>
          <w:szCs w:val="32"/>
        </w:rPr>
        <w:t>以上级司法行政部门、赋权部门等下发的街道涉企行政检查任务为准制定涉企专项检查计划。</w:t>
      </w:r>
    </w:p>
    <w:bookmarkEnd w:id="0"/>
    <w:bookmarkEnd w:id="1"/>
    <w:p w14:paraId="618CEDAD">
      <w:pPr>
        <w:spacing w:line="560" w:lineRule="exact"/>
        <w:ind w:firstLine="640" w:firstLineChars="200"/>
        <w:rPr>
          <w:rFonts w:hint="eastAsia" w:ascii="仿宋_GB2312" w:hAnsi="仿宋_GB2312" w:eastAsia="仿宋_GB2312" w:cs="仿宋_GB2312"/>
          <w:sz w:val="32"/>
          <w:szCs w:val="32"/>
        </w:rPr>
      </w:pPr>
    </w:p>
    <w:p w14:paraId="380A25B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武汉市硚口区宝丰街道办事处</w:t>
      </w:r>
    </w:p>
    <w:p w14:paraId="790071A8">
      <w:pPr>
        <w:spacing w:line="560" w:lineRule="exact"/>
        <w:ind w:firstLine="640" w:firstLineChars="200"/>
        <w:rPr>
          <w:rFonts w:cs="仿宋" w:asciiTheme="majorEastAsia" w:hAnsiTheme="majorEastAsia" w:eastAsiaTheme="majorEastAsia"/>
          <w:sz w:val="32"/>
          <w:szCs w:val="32"/>
        </w:rPr>
      </w:pPr>
      <w:r>
        <w:rPr>
          <w:rFonts w:hint="eastAsia" w:ascii="仿宋_GB2312" w:hAnsi="仿宋_GB2312" w:eastAsia="仿宋_GB2312" w:cs="仿宋_GB2312"/>
          <w:sz w:val="32"/>
          <w:szCs w:val="32"/>
        </w:rPr>
        <w:t xml:space="preserve">                         2026年4月15日</w:t>
      </w:r>
    </w:p>
    <w:bookmarkEnd w:id="2"/>
    <w:p w14:paraId="71FA9608"/>
    <w:sectPr>
      <w:pgSz w:w="11906" w:h="16838"/>
      <w:pgMar w:top="1440"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公文小标宋简">
    <w:altName w:val="方正小标宋_GBK"/>
    <w:panose1 w:val="00000000000000000000"/>
    <w:charset w:val="00"/>
    <w:family w:val="modern"/>
    <w:pitch w:val="default"/>
    <w:sig w:usb0="00000000" w:usb1="00000000" w:usb2="00000010" w:usb3="00000000" w:csb0="00040000" w:csb1="00000000"/>
  </w:font>
  <w:font w:name="方正小标宋_GBK">
    <w:panose1 w:val="02000000000000000000"/>
    <w:charset w:val="86"/>
    <w:family w:val="auto"/>
    <w:pitch w:val="default"/>
    <w:sig w:usb0="A00002BF" w:usb1="38CF7CFA" w:usb2="00082016" w:usb3="00000000" w:csb0="00040001" w:csb1="00000000"/>
  </w:font>
  <w:font w:name="CESI小标宋-GB18030">
    <w:altName w:val="宋体"/>
    <w:panose1 w:val="00000000000000000000"/>
    <w:charset w:val="86"/>
    <w:family w:val="auto"/>
    <w:pitch w:val="default"/>
    <w:sig w:usb0="00000000" w:usb1="00000000" w:usb2="00000016" w:usb3="00000000" w:csb0="0004000F" w:csb1="00000000"/>
  </w:font>
  <w:font w:name="国标黑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SI仿宋-GB18030">
    <w:altName w:val="仿宋"/>
    <w:panose1 w:val="00000000000000000000"/>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A3D0C"/>
    <w:rsid w:val="000516C9"/>
    <w:rsid w:val="00052FC6"/>
    <w:rsid w:val="000536DC"/>
    <w:rsid w:val="000A0E47"/>
    <w:rsid w:val="000D3146"/>
    <w:rsid w:val="000E6059"/>
    <w:rsid w:val="00125650"/>
    <w:rsid w:val="00140271"/>
    <w:rsid w:val="00172EF0"/>
    <w:rsid w:val="001C053B"/>
    <w:rsid w:val="001E6113"/>
    <w:rsid w:val="00226D38"/>
    <w:rsid w:val="00226EBA"/>
    <w:rsid w:val="00230910"/>
    <w:rsid w:val="002445D7"/>
    <w:rsid w:val="00282BA1"/>
    <w:rsid w:val="00285C15"/>
    <w:rsid w:val="00290DC2"/>
    <w:rsid w:val="002B2510"/>
    <w:rsid w:val="002B2EE2"/>
    <w:rsid w:val="002B3345"/>
    <w:rsid w:val="002E201E"/>
    <w:rsid w:val="00355A11"/>
    <w:rsid w:val="003604DB"/>
    <w:rsid w:val="00362ED9"/>
    <w:rsid w:val="00365F89"/>
    <w:rsid w:val="003C2949"/>
    <w:rsid w:val="003F2C78"/>
    <w:rsid w:val="00420305"/>
    <w:rsid w:val="004443E5"/>
    <w:rsid w:val="004605ED"/>
    <w:rsid w:val="00471C3F"/>
    <w:rsid w:val="004F3C69"/>
    <w:rsid w:val="00505D75"/>
    <w:rsid w:val="005C2D85"/>
    <w:rsid w:val="005D6FDE"/>
    <w:rsid w:val="005E49A0"/>
    <w:rsid w:val="006273AE"/>
    <w:rsid w:val="00633D53"/>
    <w:rsid w:val="006735BE"/>
    <w:rsid w:val="006A0019"/>
    <w:rsid w:val="006B0269"/>
    <w:rsid w:val="00743F40"/>
    <w:rsid w:val="00751683"/>
    <w:rsid w:val="007E5C82"/>
    <w:rsid w:val="00812C35"/>
    <w:rsid w:val="0086389B"/>
    <w:rsid w:val="008A0446"/>
    <w:rsid w:val="008A32BF"/>
    <w:rsid w:val="008B4845"/>
    <w:rsid w:val="008E161F"/>
    <w:rsid w:val="008F49F7"/>
    <w:rsid w:val="00905372"/>
    <w:rsid w:val="00916478"/>
    <w:rsid w:val="00952B95"/>
    <w:rsid w:val="00962533"/>
    <w:rsid w:val="009D38A1"/>
    <w:rsid w:val="009D7C70"/>
    <w:rsid w:val="00A54F9E"/>
    <w:rsid w:val="00AE6CCE"/>
    <w:rsid w:val="00B37B5B"/>
    <w:rsid w:val="00BA3D0C"/>
    <w:rsid w:val="00BA52C3"/>
    <w:rsid w:val="00BA546E"/>
    <w:rsid w:val="00BA7C52"/>
    <w:rsid w:val="00C52AF4"/>
    <w:rsid w:val="00C8570B"/>
    <w:rsid w:val="00C90D75"/>
    <w:rsid w:val="00CC72A4"/>
    <w:rsid w:val="00CE56A0"/>
    <w:rsid w:val="00D017B5"/>
    <w:rsid w:val="00D1124C"/>
    <w:rsid w:val="00D4572D"/>
    <w:rsid w:val="00E22C35"/>
    <w:rsid w:val="00E9379B"/>
    <w:rsid w:val="00EA4E10"/>
    <w:rsid w:val="00EB7306"/>
    <w:rsid w:val="00ED2AF0"/>
    <w:rsid w:val="00ED64D5"/>
    <w:rsid w:val="00EF60E1"/>
    <w:rsid w:val="00F00594"/>
    <w:rsid w:val="00F00604"/>
    <w:rsid w:val="61194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8"/>
    <w:qFormat/>
    <w:uiPriority w:val="0"/>
    <w:pPr>
      <w:keepNext/>
      <w:keepLines/>
      <w:spacing w:before="1000" w:after="400"/>
      <w:jc w:val="center"/>
      <w:outlineLvl w:val="2"/>
    </w:pPr>
    <w:rPr>
      <w:rFonts w:ascii="公文小标宋简" w:eastAsia="公文小标宋简"/>
      <w:sz w:val="44"/>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标题 3 Char"/>
    <w:basedOn w:val="7"/>
    <w:link w:val="2"/>
    <w:uiPriority w:val="0"/>
    <w:rPr>
      <w:rFonts w:ascii="公文小标宋简" w:eastAsia="公文小标宋简"/>
      <w:sz w:val="44"/>
      <w:szCs w:val="24"/>
    </w:rPr>
  </w:style>
  <w:style w:type="character" w:customStyle="1" w:styleId="9">
    <w:name w:val="页眉 Char"/>
    <w:basedOn w:val="7"/>
    <w:link w:val="4"/>
    <w:uiPriority w:val="99"/>
    <w:rPr>
      <w:sz w:val="18"/>
      <w:szCs w:val="18"/>
    </w:rPr>
  </w:style>
  <w:style w:type="character" w:customStyle="1" w:styleId="10">
    <w:name w:val="页脚 Char"/>
    <w:basedOn w:val="7"/>
    <w:link w:val="3"/>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240</Words>
  <Characters>244</Characters>
  <Lines>2</Lines>
  <Paragraphs>1</Paragraphs>
  <TotalTime>5</TotalTime>
  <ScaleCrop>false</ScaleCrop>
  <LinksUpToDate>false</LinksUpToDate>
  <CharactersWithSpaces>276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2026-04-30T08:39:00Z</dcterms:created>
  <dc:creator>李铭慧/宝丰街执法中队/执法大队/武汉市硚口区城市管理委员会/武汉城管执法局</dc:creator>
  <cp:lastModifiedBy>Zr</cp:lastModifiedBy>
  <cp:lastPrinted>2025-03-14T07:41:00Z</cp:lastPrinted>
  <dcterms:modified xsi:type="dcterms:W3CDTF">2026-04-30T08:49:30Z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eyJoZGlkIjoiNmVhZDBlNmFjODU1ZWMwMTljNGUzNTc4YzQxYTYyZTAiLCJ1c2VySWQiOiIyNDE5NTMxOTYifQ==</vt:lpwstr>
  </property>
  <property fmtid="{D5CDD505-2E9C-101B-9397-08002B2CF9AE}" pid="3" name="KSOProductBuildVer">
    <vt:lpwstr>2052-12.1.0.25225</vt:lpwstr>
  </property>
  <property fmtid="{D5CDD505-2E9C-101B-9397-08002B2CF9AE}" pid="4" name="ICV">
    <vt:lpwstr>1070CAA392384608BDFF7841756CF85D_12</vt:lpwstr>
  </property>
</Properties>
</file>