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70C87">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仿宋" w:cs="仿宋"/>
          <w:sz w:val="32"/>
          <w:szCs w:val="32"/>
          <w:highlight w:val="none"/>
        </w:rPr>
      </w:pPr>
    </w:p>
    <w:p w14:paraId="4C3F3315">
      <w:pPr>
        <w:keepNext w:val="0"/>
        <w:keepLines w:val="0"/>
        <w:pageBreakBefore w:val="0"/>
        <w:widowControl/>
        <w:kinsoku/>
        <w:wordWrap/>
        <w:overflowPunct/>
        <w:topLinePunct w:val="0"/>
        <w:autoSpaceDE w:val="0"/>
        <w:autoSpaceDN w:val="0"/>
        <w:bidi w:val="0"/>
        <w:adjustRightInd w:val="0"/>
        <w:snapToGrid w:val="0"/>
        <w:spacing w:line="570" w:lineRule="exact"/>
        <w:jc w:val="center"/>
        <w:textAlignment w:val="baseline"/>
        <w:rPr>
          <w:rFonts w:hint="eastAsia" w:ascii="Times New Roman" w:hAnsi="Times New Roman" w:eastAsia="仿宋" w:cs="仿宋"/>
          <w:sz w:val="32"/>
          <w:szCs w:val="32"/>
          <w:highlight w:val="none"/>
        </w:rPr>
      </w:pPr>
      <w:r>
        <w:rPr>
          <w:rFonts w:hint="eastAsia" w:ascii="Times New Roman" w:hAnsi="Times New Roman" w:eastAsia="方正小标宋_GBK" w:cs="方正小标宋_GBK"/>
          <w:sz w:val="44"/>
          <w:szCs w:val="44"/>
          <w:highlight w:val="none"/>
        </w:rPr>
        <w:t>硚口区2025年度法治政府建设情况报告</w:t>
      </w:r>
    </w:p>
    <w:p w14:paraId="3AA12017">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仿宋" w:cs="仿宋"/>
          <w:sz w:val="32"/>
          <w:szCs w:val="32"/>
          <w:highlight w:val="none"/>
        </w:rPr>
      </w:pPr>
    </w:p>
    <w:p w14:paraId="10FA406B">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rPr>
        <w:t>2025年，硚口区坚持以习近平法治思想为指导</w:t>
      </w:r>
      <w:r>
        <w:rPr>
          <w:rFonts w:hint="eastAsia" w:ascii="Times New Roman" w:hAnsi="Times New Roman" w:eastAsia="仿宋" w:cs="仿宋"/>
          <w:sz w:val="32"/>
          <w:szCs w:val="32"/>
          <w:highlight w:val="none"/>
          <w:lang w:eastAsia="zh-CN"/>
        </w:rPr>
        <w:t>，全面学习</w:t>
      </w:r>
      <w:r>
        <w:rPr>
          <w:rFonts w:hint="eastAsia" w:ascii="Times New Roman" w:hAnsi="Times New Roman" w:eastAsia="仿宋" w:cs="仿宋"/>
          <w:sz w:val="32"/>
          <w:szCs w:val="32"/>
          <w:highlight w:val="none"/>
        </w:rPr>
        <w:t>贯彻党的二十大和二十届二中、三中、四中全会精神，深入学习贯彻习近平法治思想</w:t>
      </w:r>
      <w:r>
        <w:rPr>
          <w:rFonts w:hint="eastAsia" w:ascii="Times New Roman" w:hAnsi="Times New Roman" w:eastAsia="仿宋" w:cs="仿宋"/>
          <w:sz w:val="32"/>
          <w:szCs w:val="32"/>
          <w:highlight w:val="none"/>
          <w:lang w:eastAsia="zh-CN"/>
        </w:rPr>
        <w:t>，</w:t>
      </w:r>
      <w:bookmarkStart w:id="0" w:name="_GoBack"/>
      <w:bookmarkEnd w:id="0"/>
      <w:r>
        <w:rPr>
          <w:rFonts w:hint="eastAsia" w:ascii="Times New Roman" w:hAnsi="Times New Roman" w:eastAsia="仿宋" w:cs="仿宋"/>
          <w:sz w:val="32"/>
          <w:szCs w:val="32"/>
          <w:highlight w:val="none"/>
          <w:lang w:eastAsia="zh-CN"/>
        </w:rPr>
        <w:t>以提升行政执法质量和效能为中心，全面推进严格规范公正文明执法，持续提升依法行政水平与社会治理法治化程度，法治政府建设取得新成效。</w:t>
      </w:r>
    </w:p>
    <w:p w14:paraId="2B16FFC3">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一、主要举措和成效</w:t>
      </w:r>
    </w:p>
    <w:p w14:paraId="591A4F23">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（一）</w:t>
      </w:r>
      <w:r>
        <w:rPr>
          <w:rFonts w:hint="eastAsia" w:ascii="楷体" w:hAnsi="楷体" w:eastAsia="楷体" w:cs="楷体"/>
          <w:b/>
          <w:bCs/>
          <w:sz w:val="32"/>
          <w:szCs w:val="32"/>
          <w:highlight w:val="none"/>
          <w:lang w:eastAsia="zh-CN"/>
        </w:rPr>
        <w:t>强化政治引领，筑牢依法行政思想根基</w:t>
      </w:r>
    </w:p>
    <w:p w14:paraId="1EB4A4E0">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楷体" w:hAnsi="楷体" w:eastAsia="楷体" w:cs="楷体"/>
          <w:b/>
          <w:bCs/>
          <w:sz w:val="32"/>
          <w:szCs w:val="32"/>
          <w:highlight w:val="none"/>
          <w:lang w:eastAsia="zh-CN"/>
        </w:rPr>
      </w:pPr>
      <w:r>
        <w:rPr>
          <w:rFonts w:hint="eastAsia" w:ascii="Times New Roman" w:hAnsi="Times New Roman" w:eastAsia="仿宋" w:cs="仿宋"/>
          <w:sz w:val="32"/>
          <w:szCs w:val="32"/>
          <w:highlight w:val="none"/>
          <w:lang w:eastAsia="zh-CN"/>
        </w:rPr>
        <w:t>加强</w:t>
      </w:r>
      <w:r>
        <w:rPr>
          <w:rFonts w:hint="eastAsia" w:ascii="Times New Roman" w:hAnsi="Times New Roman" w:eastAsia="仿宋" w:cs="仿宋"/>
          <w:sz w:val="32"/>
          <w:szCs w:val="32"/>
          <w:highlight w:val="none"/>
        </w:rPr>
        <w:t>统筹部署</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rPr>
        <w:t>组织召开十三届区委全面依法治区委员会第四次会议和第二次办公室主任会议、执法协调小组工作会议，</w:t>
      </w:r>
      <w:r>
        <w:rPr>
          <w:rFonts w:hint="eastAsia" w:ascii="Times New Roman" w:hAnsi="Times New Roman" w:eastAsia="仿宋" w:cs="仿宋"/>
          <w:sz w:val="32"/>
          <w:szCs w:val="32"/>
          <w:highlight w:val="none"/>
          <w:lang w:eastAsia="zh-CN"/>
        </w:rPr>
        <w:t>绘就年度法治工作“施工图”</w:t>
      </w:r>
      <w:r>
        <w:rPr>
          <w:rFonts w:hint="eastAsia" w:ascii="Times New Roman" w:hAnsi="Times New Roman" w:eastAsia="仿宋" w:cs="仿宋"/>
          <w:sz w:val="32"/>
          <w:szCs w:val="32"/>
          <w:highlight w:val="none"/>
        </w:rPr>
        <w:t>。</w:t>
      </w:r>
      <w:r>
        <w:rPr>
          <w:rFonts w:hint="eastAsia" w:ascii="Times New Roman" w:hAnsi="Times New Roman" w:eastAsia="仿宋" w:cs="仿宋"/>
          <w:sz w:val="32"/>
          <w:szCs w:val="32"/>
          <w:highlight w:val="none"/>
          <w:lang w:eastAsia="zh-CN"/>
        </w:rPr>
        <w:t>深入学习</w:t>
      </w:r>
      <w:r>
        <w:rPr>
          <w:rFonts w:hint="eastAsia" w:ascii="Times New Roman" w:hAnsi="Times New Roman" w:eastAsia="仿宋" w:cs="仿宋"/>
          <w:sz w:val="32"/>
          <w:szCs w:val="32"/>
          <w:highlight w:val="none"/>
        </w:rPr>
        <w:t>贯彻习近平法治思想</w:t>
      </w:r>
      <w:r>
        <w:rPr>
          <w:rFonts w:hint="eastAsia" w:ascii="Times New Roman" w:hAnsi="Times New Roman" w:eastAsia="仿宋" w:cs="仿宋"/>
          <w:sz w:val="32"/>
          <w:szCs w:val="32"/>
          <w:highlight w:val="none"/>
          <w:lang w:eastAsia="zh-CN"/>
        </w:rPr>
        <w:t>“十二个坚持”</w:t>
      </w:r>
      <w:r>
        <w:rPr>
          <w:rFonts w:hint="eastAsia" w:ascii="Times New Roman" w:hAnsi="Times New Roman" w:eastAsia="仿宋" w:cs="仿宋"/>
          <w:sz w:val="32"/>
          <w:szCs w:val="32"/>
          <w:highlight w:val="none"/>
        </w:rPr>
        <w:t>，确保学习宣传覆盖率100%。</w:t>
      </w:r>
      <w:r>
        <w:rPr>
          <w:rFonts w:hint="eastAsia" w:ascii="Times New Roman" w:hAnsi="Times New Roman" w:eastAsia="仿宋" w:cs="仿宋"/>
          <w:sz w:val="32"/>
          <w:szCs w:val="32"/>
          <w:highlight w:val="none"/>
          <w:lang w:eastAsia="zh-CN"/>
        </w:rPr>
        <w:t>落实法治建设、法治政府建设“双报告”制度，</w:t>
      </w:r>
      <w:r>
        <w:rPr>
          <w:rFonts w:hint="eastAsia" w:ascii="Times New Roman" w:hAnsi="Times New Roman" w:eastAsia="仿宋" w:cs="仿宋"/>
          <w:sz w:val="32"/>
          <w:szCs w:val="32"/>
          <w:highlight w:val="none"/>
        </w:rPr>
        <w:t>完善“1+N”述法模式，区委主要负责同志在依法治市委员会上现场述法，73家单位党政领导班子410人实现年终述法全覆盖。升级制发《法治硚口专报》</w:t>
      </w:r>
      <w:r>
        <w:rPr>
          <w:rFonts w:hint="eastAsia" w:ascii="Times New Roman" w:hAnsi="Times New Roman" w:eastAsia="仿宋" w:cs="仿宋"/>
          <w:sz w:val="32"/>
          <w:szCs w:val="32"/>
          <w:highlight w:val="none"/>
          <w:lang w:val="en-US" w:eastAsia="zh-CN"/>
        </w:rPr>
        <w:t>7</w:t>
      </w:r>
      <w:r>
        <w:rPr>
          <w:rFonts w:hint="eastAsia" w:ascii="Times New Roman" w:hAnsi="Times New Roman" w:eastAsia="仿宋" w:cs="仿宋"/>
          <w:sz w:val="32"/>
          <w:szCs w:val="32"/>
          <w:highlight w:val="none"/>
        </w:rPr>
        <w:t>期，开辟专题调研、数据分析、正反释法、法律时评板块，着力打造法治建设成效门户网站宣传窗口。</w:t>
      </w:r>
    </w:p>
    <w:p w14:paraId="288413DD">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（二）</w:t>
      </w:r>
      <w:r>
        <w:rPr>
          <w:rFonts w:hint="eastAsia" w:ascii="楷体" w:hAnsi="楷体" w:eastAsia="楷体" w:cs="楷体"/>
          <w:b/>
          <w:bCs/>
          <w:sz w:val="32"/>
          <w:szCs w:val="32"/>
          <w:highlight w:val="none"/>
          <w:lang w:eastAsia="zh-CN"/>
        </w:rPr>
        <w:t>规范法治审核，把好重要决策程序关口</w:t>
      </w:r>
    </w:p>
    <w:p w14:paraId="555423B7">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楷体" w:hAnsi="楷体" w:eastAsia="楷体" w:cs="楷体"/>
          <w:b/>
          <w:bCs/>
          <w:sz w:val="32"/>
          <w:szCs w:val="32"/>
          <w:highlight w:val="none"/>
        </w:rPr>
      </w:pPr>
      <w:r>
        <w:rPr>
          <w:rFonts w:hint="eastAsia" w:ascii="Times New Roman" w:hAnsi="Times New Roman" w:eastAsia="仿宋" w:cs="仿宋"/>
          <w:sz w:val="32"/>
          <w:szCs w:val="32"/>
          <w:highlight w:val="none"/>
        </w:rPr>
        <w:t>履行重大事项合法性审查职责，累计审查征收材料1</w:t>
      </w:r>
      <w:r>
        <w:rPr>
          <w:rFonts w:hint="eastAsia" w:ascii="Times New Roman" w:hAnsi="Times New Roman" w:eastAsia="仿宋" w:cs="仿宋"/>
          <w:sz w:val="32"/>
          <w:szCs w:val="32"/>
          <w:highlight w:val="none"/>
          <w:lang w:val="en-US" w:eastAsia="zh-CN"/>
        </w:rPr>
        <w:t>72</w:t>
      </w:r>
      <w:r>
        <w:rPr>
          <w:rFonts w:hint="eastAsia" w:ascii="Times New Roman" w:hAnsi="Times New Roman" w:eastAsia="仿宋" w:cs="仿宋"/>
          <w:sz w:val="32"/>
          <w:szCs w:val="32"/>
          <w:highlight w:val="none"/>
        </w:rPr>
        <w:t>份、重要合同协议3</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rPr>
        <w:t>份、政府信息公开申请</w:t>
      </w:r>
      <w:r>
        <w:rPr>
          <w:rFonts w:hint="eastAsia" w:ascii="Times New Roman" w:hAnsi="Times New Roman" w:eastAsia="仿宋" w:cs="仿宋"/>
          <w:sz w:val="32"/>
          <w:szCs w:val="32"/>
          <w:highlight w:val="none"/>
          <w:lang w:val="en-US" w:eastAsia="zh-CN"/>
        </w:rPr>
        <w:t>82</w:t>
      </w:r>
      <w:r>
        <w:rPr>
          <w:rFonts w:hint="eastAsia" w:ascii="Times New Roman" w:hAnsi="Times New Roman" w:eastAsia="仿宋" w:cs="仿宋"/>
          <w:sz w:val="32"/>
          <w:szCs w:val="32"/>
          <w:highlight w:val="none"/>
        </w:rPr>
        <w:t>份，出具审查意见书52份，</w:t>
      </w:r>
      <w:r>
        <w:rPr>
          <w:rFonts w:hint="eastAsia" w:ascii="Times New Roman" w:hAnsi="Times New Roman" w:eastAsia="仿宋" w:cs="仿宋"/>
          <w:sz w:val="32"/>
          <w:szCs w:val="32"/>
          <w:highlight w:val="none"/>
          <w:lang w:val="en-US" w:eastAsia="zh-CN"/>
        </w:rPr>
        <w:t>办理立法征求意见18件</w:t>
      </w:r>
      <w:r>
        <w:rPr>
          <w:rFonts w:hint="eastAsia" w:ascii="Times New Roman" w:hAnsi="Times New Roman" w:eastAsia="仿宋" w:cs="仿宋"/>
          <w:sz w:val="32"/>
          <w:szCs w:val="32"/>
          <w:highlight w:val="none"/>
        </w:rPr>
        <w:t>。落实重大行政决策程序，印发《2025年硚口区重大行政决策目录》，完成目录所列项目市级备案，重大行政决策合法性审查率达100%。加强行政规范性文件审查备案工作，出台《硚口区促进人工智能发展若干政策措施（试行）》，行政规范性文件合法性审查率100%。严格执行党政机关法律顾问管理办法，完成年度政府法律顾问签约，</w:t>
      </w:r>
      <w:r>
        <w:rPr>
          <w:rFonts w:hint="eastAsia" w:ascii="Times New Roman" w:hAnsi="Times New Roman" w:eastAsia="仿宋" w:cs="仿宋"/>
          <w:sz w:val="32"/>
          <w:szCs w:val="32"/>
          <w:highlight w:val="none"/>
          <w:lang w:eastAsia="zh-CN"/>
        </w:rPr>
        <w:t>配强</w:t>
      </w:r>
      <w:r>
        <w:rPr>
          <w:rFonts w:hint="eastAsia" w:ascii="Times New Roman" w:hAnsi="Times New Roman" w:eastAsia="仿宋" w:cs="仿宋"/>
          <w:sz w:val="32"/>
          <w:szCs w:val="32"/>
          <w:highlight w:val="none"/>
        </w:rPr>
        <w:t>法律顾问，</w:t>
      </w:r>
      <w:r>
        <w:rPr>
          <w:rFonts w:hint="eastAsia" w:ascii="Times New Roman" w:hAnsi="Times New Roman" w:eastAsia="仿宋" w:cs="仿宋"/>
          <w:sz w:val="32"/>
          <w:szCs w:val="32"/>
          <w:highlight w:val="none"/>
          <w:lang w:eastAsia="zh-CN"/>
        </w:rPr>
        <w:t>做好专业支撑。</w:t>
      </w:r>
    </w:p>
    <w:p w14:paraId="53B5E18D">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eastAsia="zh-CN"/>
        </w:rPr>
        <w:t>聚焦能力建设，提升执法队伍专业素养</w:t>
      </w:r>
    </w:p>
    <w:p w14:paraId="0E2B820D">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highlight w:val="none"/>
          <w:lang w:eastAsia="zh-CN"/>
        </w:rPr>
      </w:pPr>
      <w:r>
        <w:rPr>
          <w:rFonts w:hint="eastAsia" w:ascii="Times New Roman" w:hAnsi="Times New Roman" w:eastAsia="仿宋" w:cs="仿宋"/>
          <w:sz w:val="32"/>
          <w:szCs w:val="32"/>
          <w:highlight w:val="none"/>
          <w:lang w:eastAsia="zh-CN"/>
        </w:rPr>
        <w:t>加强执法队伍能力</w:t>
      </w:r>
      <w:r>
        <w:rPr>
          <w:rFonts w:hint="eastAsia" w:ascii="Times New Roman" w:hAnsi="Times New Roman" w:eastAsia="仿宋" w:cs="仿宋"/>
          <w:sz w:val="32"/>
          <w:szCs w:val="32"/>
          <w:highlight w:val="none"/>
        </w:rPr>
        <w:t>建设</w:t>
      </w:r>
      <w:r>
        <w:rPr>
          <w:rFonts w:hint="eastAsia" w:ascii="Times New Roman" w:hAnsi="Times New Roman" w:eastAsia="仿宋" w:cs="仿宋"/>
          <w:sz w:val="32"/>
          <w:szCs w:val="32"/>
          <w:highlight w:val="none"/>
          <w:lang w:eastAsia="zh-CN"/>
        </w:rPr>
        <w:t>，落实常态化分类分级分层培训，先后举办全区行政执法人员执法能力提升专项培训班、武汉市行政执法管理与监督云平台二期专项培训、2025年度征收拆迁法律实务培训等各类培训。规范行政执法</w:t>
      </w:r>
      <w:r>
        <w:rPr>
          <w:rFonts w:hint="eastAsia" w:ascii="Times New Roman" w:hAnsi="Times New Roman" w:eastAsia="仿宋" w:cs="仿宋"/>
          <w:sz w:val="32"/>
          <w:szCs w:val="32"/>
          <w:highlight w:val="none"/>
        </w:rPr>
        <w:t>资格管理，组织2025年度行政执法资格考试，参考人员67人，通过率95.52%。</w:t>
      </w:r>
      <w:r>
        <w:rPr>
          <w:rFonts w:hint="eastAsia" w:ascii="Times New Roman" w:hAnsi="Times New Roman" w:eastAsia="仿宋" w:cs="仿宋"/>
          <w:sz w:val="32"/>
          <w:szCs w:val="32"/>
          <w:highlight w:val="none"/>
          <w:lang w:eastAsia="zh-CN"/>
        </w:rPr>
        <w:t>加强“</w:t>
      </w:r>
      <w:r>
        <w:rPr>
          <w:rFonts w:hint="eastAsia" w:ascii="Times New Roman" w:hAnsi="Times New Roman" w:eastAsia="仿宋" w:cs="仿宋"/>
          <w:sz w:val="32"/>
          <w:szCs w:val="32"/>
          <w:highlight w:val="none"/>
        </w:rPr>
        <w:t>府检联动</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rPr>
        <w:t>，区人民政府和区人民检察院印制《硚口区“府检联动”工作机制实施方案》，促进政府和检察院在信息共享、联合检查、办理程序、线索移送等方面的协作配合。</w:t>
      </w:r>
    </w:p>
    <w:p w14:paraId="0949AEAD">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eastAsia="zh-CN"/>
        </w:rPr>
        <w:t>四</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eastAsia="zh-CN"/>
        </w:rPr>
        <w:t>做优政务服务，打造公正有序营商环境</w:t>
      </w:r>
    </w:p>
    <w:p w14:paraId="7D815449">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highlight w:val="none"/>
          <w:lang w:eastAsia="zh-CN"/>
        </w:rPr>
      </w:pPr>
      <w:r>
        <w:rPr>
          <w:rFonts w:hint="eastAsia" w:ascii="Times New Roman" w:hAnsi="Times New Roman" w:eastAsia="仿宋" w:cs="仿宋"/>
          <w:sz w:val="32"/>
          <w:szCs w:val="32"/>
          <w:highlight w:val="none"/>
          <w:lang w:eastAsia="zh-CN"/>
        </w:rPr>
        <w:t>深入推进</w:t>
      </w:r>
      <w:r>
        <w:rPr>
          <w:rFonts w:hint="eastAsia" w:ascii="Times New Roman" w:hAnsi="Times New Roman" w:eastAsia="仿宋" w:cs="仿宋"/>
          <w:sz w:val="32"/>
          <w:szCs w:val="32"/>
          <w:highlight w:val="none"/>
        </w:rPr>
        <w:t>“高效办成一件事”</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rPr>
        <w:t>上线43项集成办事项，设立“跨域通办”专窗，运行“企业迁移一件事”系统，</w:t>
      </w:r>
      <w:r>
        <w:rPr>
          <w:rFonts w:hint="eastAsia" w:ascii="Times New Roman" w:hAnsi="Times New Roman" w:eastAsia="仿宋" w:cs="仿宋"/>
          <w:sz w:val="32"/>
          <w:szCs w:val="32"/>
          <w:highlight w:val="none"/>
          <w:lang w:eastAsia="zh-CN"/>
        </w:rPr>
        <w:t>实现</w:t>
      </w:r>
      <w:r>
        <w:rPr>
          <w:rFonts w:hint="eastAsia" w:ascii="Times New Roman" w:hAnsi="Times New Roman" w:eastAsia="仿宋" w:cs="仿宋"/>
          <w:sz w:val="32"/>
          <w:szCs w:val="32"/>
          <w:highlight w:val="none"/>
        </w:rPr>
        <w:t>政务服务“圈内通办”</w:t>
      </w:r>
      <w:r>
        <w:rPr>
          <w:rFonts w:hint="eastAsia" w:ascii="Times New Roman" w:hAnsi="Times New Roman" w:eastAsia="仿宋" w:cs="仿宋"/>
          <w:sz w:val="32"/>
          <w:szCs w:val="32"/>
          <w:highlight w:val="none"/>
          <w:lang w:eastAsia="zh-CN"/>
        </w:rPr>
        <w:t>和</w:t>
      </w:r>
      <w:r>
        <w:rPr>
          <w:rFonts w:hint="eastAsia" w:ascii="Times New Roman" w:hAnsi="Times New Roman" w:eastAsia="仿宋" w:cs="仿宋"/>
          <w:sz w:val="32"/>
          <w:szCs w:val="32"/>
          <w:highlight w:val="none"/>
        </w:rPr>
        <w:t>“全省通办”。</w:t>
      </w:r>
      <w:r>
        <w:rPr>
          <w:rFonts w:hint="eastAsia" w:ascii="Times New Roman" w:hAnsi="Times New Roman" w:eastAsia="仿宋" w:cs="仿宋"/>
          <w:sz w:val="32"/>
          <w:szCs w:val="32"/>
          <w:highlight w:val="none"/>
          <w:lang w:eastAsia="zh-CN"/>
        </w:rPr>
        <w:t>深化</w:t>
      </w:r>
      <w:r>
        <w:rPr>
          <w:rFonts w:hint="eastAsia" w:ascii="Times New Roman" w:hAnsi="Times New Roman" w:eastAsia="仿宋" w:cs="仿宋"/>
          <w:sz w:val="32"/>
          <w:szCs w:val="32"/>
          <w:highlight w:val="none"/>
        </w:rPr>
        <w:t>告知承诺制改革，承诺办事项达到160个以上</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rPr>
        <w:t>“告知承诺+容缺审批+审管联动”改革模式入选全国数字化监管典型案例。升级“政务连心硚”平台，业务办理平均时长缩短至7分钟。</w:t>
      </w:r>
      <w:r>
        <w:rPr>
          <w:rFonts w:hint="eastAsia" w:ascii="Times New Roman" w:hAnsi="Times New Roman" w:eastAsia="仿宋" w:cs="仿宋"/>
          <w:sz w:val="32"/>
          <w:szCs w:val="32"/>
          <w:highlight w:val="none"/>
          <w:lang w:eastAsia="zh-CN"/>
        </w:rPr>
        <w:t>创新建立</w:t>
      </w:r>
      <w:r>
        <w:rPr>
          <w:rFonts w:hint="eastAsia" w:ascii="Times New Roman" w:hAnsi="Times New Roman" w:eastAsia="仿宋" w:cs="仿宋"/>
          <w:sz w:val="32"/>
          <w:szCs w:val="32"/>
          <w:highlight w:val="none"/>
        </w:rPr>
        <w:t>全省首个预付式消费综合监管平台，为300余名消费者挽回损失900余万元。</w:t>
      </w:r>
      <w:r>
        <w:rPr>
          <w:rFonts w:hint="eastAsia" w:ascii="Times New Roman" w:hAnsi="Times New Roman" w:eastAsia="仿宋" w:cs="仿宋"/>
          <w:sz w:val="32"/>
          <w:szCs w:val="32"/>
          <w:highlight w:val="none"/>
          <w:lang w:eastAsia="zh-CN"/>
        </w:rPr>
        <w:t>试点“首违不罚、轻微免罚”工作，市场监管部门作出不予、减轻</w:t>
      </w:r>
      <w:r>
        <w:rPr>
          <w:rFonts w:hint="eastAsia" w:ascii="Times New Roman" w:hAnsi="Times New Roman" w:eastAsia="仿宋_GB2312" w:cs="Times New Roman"/>
          <w:sz w:val="32"/>
          <w:szCs w:val="32"/>
          <w:highlight w:val="none"/>
          <w:lang w:val="en-US" w:eastAsia="zh-CN"/>
        </w:rPr>
        <w:t>或从轻</w:t>
      </w:r>
      <w:r>
        <w:rPr>
          <w:rFonts w:hint="default" w:ascii="Times New Roman" w:hAnsi="Times New Roman" w:eastAsia="仿宋_GB2312" w:cs="Times New Roman"/>
          <w:sz w:val="32"/>
          <w:szCs w:val="32"/>
          <w:highlight w:val="none"/>
          <w:lang w:val="en-US" w:eastAsia="zh-CN"/>
        </w:rPr>
        <w:t>处罚决定</w:t>
      </w:r>
      <w:r>
        <w:rPr>
          <w:rFonts w:hint="eastAsia" w:ascii="Times New Roman" w:hAnsi="Times New Roman" w:eastAsia="仿宋_GB2312" w:cs="Times New Roman"/>
          <w:sz w:val="32"/>
          <w:szCs w:val="32"/>
          <w:highlight w:val="none"/>
          <w:lang w:val="en-US" w:eastAsia="zh-CN"/>
        </w:rPr>
        <w:t>244件</w:t>
      </w:r>
      <w:r>
        <w:rPr>
          <w:rFonts w:hint="eastAsia" w:ascii="Times New Roman" w:hAnsi="Times New Roman" w:eastAsia="仿宋" w:cs="仿宋"/>
          <w:sz w:val="32"/>
          <w:szCs w:val="32"/>
          <w:highlight w:val="none"/>
          <w:lang w:eastAsia="zh-CN"/>
        </w:rPr>
        <w:t>，提升涉企执法温度。</w:t>
      </w:r>
      <w:r>
        <w:rPr>
          <w:rFonts w:hint="eastAsia" w:ascii="Times New Roman" w:hAnsi="Times New Roman" w:eastAsia="仿宋" w:cs="仿宋"/>
          <w:sz w:val="32"/>
          <w:szCs w:val="32"/>
          <w:highlight w:val="none"/>
        </w:rPr>
        <w:t>创新</w:t>
      </w:r>
      <w:r>
        <w:rPr>
          <w:rFonts w:hint="eastAsia" w:ascii="Times New Roman" w:hAnsi="Times New Roman" w:eastAsia="仿宋" w:cs="仿宋"/>
          <w:sz w:val="32"/>
          <w:szCs w:val="32"/>
          <w:highlight w:val="none"/>
          <w:lang w:eastAsia="zh-CN"/>
        </w:rPr>
        <w:t>市场主体法律服务模式，建立</w:t>
      </w:r>
      <w:r>
        <w:rPr>
          <w:rFonts w:hint="eastAsia" w:ascii="Times New Roman" w:hAnsi="Times New Roman" w:eastAsia="仿宋" w:cs="仿宋"/>
          <w:sz w:val="32"/>
          <w:szCs w:val="32"/>
          <w:highlight w:val="none"/>
        </w:rPr>
        <w:t>“云尚·公法驿”、“同济·公法驿”、“荟聚·公法驿”“</w:t>
      </w:r>
      <w:r>
        <w:rPr>
          <w:rFonts w:hint="eastAsia" w:ascii="Times New Roman" w:hAnsi="Times New Roman" w:eastAsia="仿宋" w:cs="仿宋"/>
          <w:sz w:val="32"/>
          <w:szCs w:val="32"/>
          <w:highlight w:val="none"/>
          <w:lang w:eastAsia="zh-CN"/>
        </w:rPr>
        <w:t>蓝焰</w:t>
      </w:r>
      <w:r>
        <w:rPr>
          <w:rFonts w:hint="eastAsia" w:ascii="Times New Roman" w:hAnsi="Times New Roman" w:eastAsia="仿宋" w:cs="仿宋"/>
          <w:sz w:val="32"/>
          <w:szCs w:val="32"/>
          <w:highlight w:val="none"/>
        </w:rPr>
        <w:t>·公法驿”</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家站点，实现“公法驿”品牌扩面提质。</w:t>
      </w:r>
    </w:p>
    <w:p w14:paraId="2DA77B78">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（五）</w:t>
      </w:r>
      <w:r>
        <w:rPr>
          <w:rFonts w:hint="eastAsia" w:ascii="楷体" w:hAnsi="楷体" w:eastAsia="楷体" w:cs="楷体"/>
          <w:b/>
          <w:bCs/>
          <w:sz w:val="32"/>
          <w:szCs w:val="32"/>
          <w:highlight w:val="none"/>
          <w:lang w:eastAsia="zh-CN"/>
        </w:rPr>
        <w:t>突出靶向治理，扎紧规范用权监督网络</w:t>
      </w:r>
    </w:p>
    <w:p w14:paraId="08EC5858">
      <w:pPr>
        <w:pStyle w:val="2"/>
        <w:keepNext w:val="0"/>
        <w:keepLines w:val="0"/>
        <w:pageBreakBefore w:val="0"/>
        <w:widowControl/>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仿宋" w:cs="仿宋"/>
          <w:snapToGrid w:val="0"/>
          <w:color w:val="000000"/>
          <w:kern w:val="0"/>
          <w:sz w:val="32"/>
          <w:szCs w:val="32"/>
          <w:highlight w:val="none"/>
          <w:lang w:val="en-US" w:eastAsia="zh-CN" w:bidi="ar-SA"/>
        </w:rPr>
      </w:pPr>
      <w:r>
        <w:rPr>
          <w:rFonts w:hint="eastAsia" w:ascii="Times New Roman" w:hAnsi="Times New Roman" w:eastAsia="仿宋" w:cs="仿宋"/>
          <w:snapToGrid w:val="0"/>
          <w:color w:val="000000"/>
          <w:kern w:val="0"/>
          <w:sz w:val="32"/>
          <w:szCs w:val="32"/>
          <w:highlight w:val="none"/>
          <w:lang w:val="en-US" w:eastAsia="zh-CN" w:bidi="ar-SA"/>
        </w:rPr>
        <w:t>开展</w:t>
      </w:r>
      <w:r>
        <w:rPr>
          <w:rFonts w:hint="eastAsia" w:ascii="Times New Roman" w:hAnsi="Times New Roman" w:eastAsia="仿宋" w:cs="仿宋"/>
          <w:snapToGrid w:val="0"/>
          <w:color w:val="000000"/>
          <w:kern w:val="0"/>
          <w:sz w:val="32"/>
          <w:szCs w:val="32"/>
          <w:highlight w:val="none"/>
          <w:lang w:val="en-US" w:eastAsia="en-US" w:bidi="ar-SA"/>
        </w:rPr>
        <w:t>涉企行政执法专项治理</w:t>
      </w:r>
      <w:r>
        <w:rPr>
          <w:rFonts w:hint="eastAsia" w:ascii="Times New Roman" w:hAnsi="Times New Roman" w:eastAsia="仿宋" w:cs="仿宋"/>
          <w:snapToGrid w:val="0"/>
          <w:color w:val="000000"/>
          <w:kern w:val="0"/>
          <w:sz w:val="32"/>
          <w:szCs w:val="32"/>
          <w:highlight w:val="none"/>
          <w:lang w:val="en-US" w:eastAsia="zh-CN" w:bidi="ar-SA"/>
        </w:rPr>
        <w:t>，盯紧乱收费、乱罚款、乱检查、乱查封；违规异地执法、趋利性执法以及执法标准不一致、要求不统一等突出问题，</w:t>
      </w:r>
      <w:r>
        <w:rPr>
          <w:rFonts w:hint="eastAsia" w:ascii="Times New Roman" w:hAnsi="Times New Roman" w:eastAsia="仿宋" w:cs="仿宋"/>
          <w:snapToGrid w:val="0"/>
          <w:color w:val="000000"/>
          <w:kern w:val="0"/>
          <w:sz w:val="32"/>
          <w:szCs w:val="32"/>
          <w:highlight w:val="none"/>
          <w:lang w:val="en-US" w:eastAsia="en-US" w:bidi="ar-SA"/>
        </w:rPr>
        <w:t>排查发现职能部门问题273条，推动整改273条，整改率100%，推动建章立制27件，监督问责</w:t>
      </w:r>
      <w:r>
        <w:rPr>
          <w:rFonts w:hint="eastAsia" w:ascii="Times New Roman" w:hAnsi="Times New Roman" w:cs="仿宋"/>
          <w:snapToGrid w:val="0"/>
          <w:color w:val="000000"/>
          <w:kern w:val="0"/>
          <w:sz w:val="32"/>
          <w:szCs w:val="32"/>
          <w:highlight w:val="none"/>
          <w:lang w:val="en-US" w:eastAsia="zh-CN" w:bidi="ar-SA"/>
        </w:rPr>
        <w:t>118</w:t>
      </w:r>
      <w:r>
        <w:rPr>
          <w:rFonts w:hint="eastAsia" w:ascii="Times New Roman" w:hAnsi="Times New Roman" w:eastAsia="仿宋" w:cs="仿宋"/>
          <w:snapToGrid w:val="0"/>
          <w:color w:val="000000"/>
          <w:kern w:val="0"/>
          <w:sz w:val="32"/>
          <w:szCs w:val="32"/>
          <w:highlight w:val="none"/>
          <w:lang w:val="en-US" w:eastAsia="en-US" w:bidi="ar-SA"/>
        </w:rPr>
        <w:t>人，向纪检监察机关移送问题线索10条。加强执法监督</w:t>
      </w:r>
      <w:r>
        <w:rPr>
          <w:rFonts w:hint="eastAsia" w:ascii="Times New Roman" w:hAnsi="Times New Roman" w:cs="仿宋"/>
          <w:snapToGrid w:val="0"/>
          <w:color w:val="000000"/>
          <w:kern w:val="0"/>
          <w:sz w:val="32"/>
          <w:szCs w:val="32"/>
          <w:highlight w:val="none"/>
          <w:lang w:val="en-US" w:eastAsia="zh-CN" w:bidi="ar-SA"/>
        </w:rPr>
        <w:t>力度，</w:t>
      </w:r>
      <w:r>
        <w:rPr>
          <w:rFonts w:hint="eastAsia" w:ascii="Times New Roman" w:hAnsi="Times New Roman" w:eastAsia="仿宋" w:cs="仿宋"/>
          <w:snapToGrid w:val="0"/>
          <w:color w:val="000000"/>
          <w:kern w:val="0"/>
          <w:sz w:val="32"/>
          <w:szCs w:val="32"/>
          <w:highlight w:val="none"/>
          <w:lang w:val="en-US" w:eastAsia="en-US" w:bidi="ar-SA"/>
        </w:rPr>
        <w:t>办理行政执法监督案件</w:t>
      </w:r>
      <w:r>
        <w:rPr>
          <w:rFonts w:hint="eastAsia" w:ascii="Times New Roman" w:hAnsi="Times New Roman" w:eastAsia="仿宋" w:cs="仿宋"/>
          <w:snapToGrid w:val="0"/>
          <w:color w:val="000000"/>
          <w:kern w:val="0"/>
          <w:sz w:val="32"/>
          <w:szCs w:val="32"/>
          <w:highlight w:val="none"/>
          <w:lang w:val="en-US" w:eastAsia="zh-CN" w:bidi="ar-SA"/>
        </w:rPr>
        <w:t>4</w:t>
      </w:r>
      <w:r>
        <w:rPr>
          <w:rFonts w:hint="eastAsia" w:ascii="Times New Roman" w:hAnsi="Times New Roman" w:cs="仿宋"/>
          <w:snapToGrid w:val="0"/>
          <w:color w:val="000000"/>
          <w:kern w:val="0"/>
          <w:sz w:val="32"/>
          <w:szCs w:val="32"/>
          <w:highlight w:val="none"/>
          <w:lang w:val="en-US" w:eastAsia="zh-CN" w:bidi="ar-SA"/>
        </w:rPr>
        <w:t>7</w:t>
      </w:r>
      <w:r>
        <w:rPr>
          <w:rFonts w:hint="eastAsia" w:ascii="Times New Roman" w:hAnsi="Times New Roman" w:cs="仿宋"/>
          <w:snapToGrid w:val="0"/>
          <w:color w:val="000000"/>
          <w:kern w:val="0"/>
          <w:sz w:val="32"/>
          <w:szCs w:val="32"/>
          <w:highlight w:val="none"/>
          <w:lang w:val="en-US" w:eastAsia="en-US" w:bidi="ar-SA"/>
        </w:rPr>
        <w:t>件，</w:t>
      </w:r>
      <w:r>
        <w:rPr>
          <w:rFonts w:hint="eastAsia" w:ascii="Times New Roman" w:hAnsi="Times New Roman" w:cs="仿宋"/>
          <w:snapToGrid w:val="0"/>
          <w:color w:val="000000"/>
          <w:kern w:val="0"/>
          <w:sz w:val="32"/>
          <w:szCs w:val="32"/>
          <w:highlight w:val="none"/>
          <w:lang w:val="en-US" w:eastAsia="zh-CN" w:bidi="ar-SA"/>
        </w:rPr>
        <w:t>制发行政执法监督建议书18份，行政执法监督意见书23份，不予处理决定书1份。</w:t>
      </w:r>
    </w:p>
    <w:p w14:paraId="664FBA6A">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（六）</w:t>
      </w:r>
      <w:r>
        <w:rPr>
          <w:rFonts w:hint="eastAsia" w:ascii="楷体" w:hAnsi="楷体" w:eastAsia="楷体" w:cs="楷体"/>
          <w:b/>
          <w:bCs/>
          <w:sz w:val="32"/>
          <w:szCs w:val="32"/>
          <w:highlight w:val="none"/>
          <w:lang w:eastAsia="zh-CN"/>
        </w:rPr>
        <w:t>注重</w:t>
      </w:r>
      <w:r>
        <w:rPr>
          <w:rFonts w:hint="eastAsia" w:ascii="楷体" w:hAnsi="楷体" w:eastAsia="楷体" w:cs="楷体"/>
          <w:b/>
          <w:bCs/>
          <w:sz w:val="32"/>
          <w:szCs w:val="32"/>
          <w:highlight w:val="none"/>
        </w:rPr>
        <w:t>释法</w:t>
      </w:r>
      <w:r>
        <w:rPr>
          <w:rFonts w:hint="eastAsia" w:ascii="楷体" w:hAnsi="楷体" w:eastAsia="楷体" w:cs="楷体"/>
          <w:b/>
          <w:bCs/>
          <w:sz w:val="32"/>
          <w:szCs w:val="32"/>
          <w:highlight w:val="none"/>
          <w:lang w:eastAsia="zh-CN"/>
        </w:rPr>
        <w:t>说</w:t>
      </w:r>
      <w:r>
        <w:rPr>
          <w:rFonts w:hint="eastAsia" w:ascii="楷体" w:hAnsi="楷体" w:eastAsia="楷体" w:cs="楷体"/>
          <w:b/>
          <w:bCs/>
          <w:sz w:val="32"/>
          <w:szCs w:val="32"/>
          <w:highlight w:val="none"/>
        </w:rPr>
        <w:t>理，</w:t>
      </w:r>
      <w:r>
        <w:rPr>
          <w:rFonts w:hint="eastAsia" w:ascii="楷体" w:hAnsi="楷体" w:eastAsia="楷体" w:cs="楷体"/>
          <w:b/>
          <w:bCs/>
          <w:sz w:val="32"/>
          <w:szCs w:val="32"/>
          <w:highlight w:val="none"/>
          <w:lang w:eastAsia="zh-CN"/>
        </w:rPr>
        <w:t>增强行政争议化解实效</w:t>
      </w:r>
    </w:p>
    <w:p w14:paraId="0B6266DA">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仿宋" w:cs="仿宋"/>
          <w:b w:val="0"/>
          <w:bCs w:val="0"/>
          <w:color w:val="auto"/>
          <w:sz w:val="32"/>
          <w:szCs w:val="32"/>
          <w:highlight w:val="none"/>
          <w:lang w:eastAsia="zh-CN"/>
        </w:rPr>
      </w:pPr>
      <w:r>
        <w:rPr>
          <w:rFonts w:hint="eastAsia" w:ascii="Times New Roman" w:hAnsi="Times New Roman" w:eastAsia="仿宋" w:cs="仿宋"/>
          <w:b w:val="0"/>
          <w:bCs w:val="0"/>
          <w:color w:val="auto"/>
          <w:sz w:val="32"/>
          <w:szCs w:val="32"/>
          <w:highlight w:val="none"/>
          <w:lang w:eastAsia="zh-CN"/>
        </w:rPr>
        <w:t>践行复议为民理念，办理行政复议案件7</w:t>
      </w:r>
      <w:r>
        <w:rPr>
          <w:rFonts w:hint="eastAsia" w:ascii="Times New Roman" w:hAnsi="Times New Roman" w:eastAsia="仿宋" w:cs="仿宋"/>
          <w:b w:val="0"/>
          <w:bCs w:val="0"/>
          <w:color w:val="auto"/>
          <w:sz w:val="32"/>
          <w:szCs w:val="32"/>
          <w:highlight w:val="none"/>
          <w:lang w:val="en-US" w:eastAsia="zh-CN"/>
        </w:rPr>
        <w:t>80</w:t>
      </w:r>
      <w:r>
        <w:rPr>
          <w:rFonts w:hint="eastAsia" w:ascii="Times New Roman" w:hAnsi="Times New Roman" w:eastAsia="仿宋" w:cs="仿宋"/>
          <w:b w:val="0"/>
          <w:bCs w:val="0"/>
          <w:color w:val="auto"/>
          <w:sz w:val="32"/>
          <w:szCs w:val="32"/>
          <w:highlight w:val="none"/>
          <w:lang w:eastAsia="zh-CN"/>
        </w:rPr>
        <w:t>件，同比增长3</w:t>
      </w:r>
      <w:r>
        <w:rPr>
          <w:rFonts w:hint="eastAsia" w:ascii="Times New Roman" w:hAnsi="Times New Roman" w:eastAsia="仿宋" w:cs="仿宋"/>
          <w:b w:val="0"/>
          <w:bCs w:val="0"/>
          <w:color w:val="auto"/>
          <w:sz w:val="32"/>
          <w:szCs w:val="32"/>
          <w:highlight w:val="none"/>
          <w:lang w:val="en-US" w:eastAsia="zh-CN"/>
        </w:rPr>
        <w:t>4</w:t>
      </w:r>
      <w:r>
        <w:rPr>
          <w:rFonts w:hint="eastAsia" w:ascii="Times New Roman" w:hAnsi="Times New Roman" w:eastAsia="仿宋" w:cs="仿宋"/>
          <w:b w:val="0"/>
          <w:bCs w:val="0"/>
          <w:color w:val="auto"/>
          <w:sz w:val="32"/>
          <w:szCs w:val="32"/>
          <w:highlight w:val="none"/>
          <w:lang w:eastAsia="zh-CN"/>
        </w:rPr>
        <w:t>%，行政复议纠错率</w:t>
      </w:r>
      <w:r>
        <w:rPr>
          <w:rFonts w:hint="eastAsia" w:ascii="Times New Roman" w:hAnsi="Times New Roman" w:eastAsia="仿宋" w:cs="仿宋"/>
          <w:b w:val="0"/>
          <w:bCs w:val="0"/>
          <w:color w:val="auto"/>
          <w:sz w:val="32"/>
          <w:szCs w:val="32"/>
          <w:highlight w:val="none"/>
          <w:lang w:val="en-US" w:eastAsia="zh-CN"/>
        </w:rPr>
        <w:t>5</w:t>
      </w:r>
      <w:r>
        <w:rPr>
          <w:rFonts w:hint="eastAsia" w:ascii="Times New Roman" w:hAnsi="Times New Roman" w:eastAsia="仿宋" w:cs="仿宋"/>
          <w:b w:val="0"/>
          <w:bCs w:val="0"/>
          <w:color w:val="auto"/>
          <w:sz w:val="32"/>
          <w:szCs w:val="32"/>
          <w:highlight w:val="none"/>
          <w:lang w:eastAsia="zh-CN"/>
        </w:rPr>
        <w:t>%，文书履行率达100%。发挥行政复议化解行政争议主渠道作用，通过调解和解方式化解行政争议13</w:t>
      </w:r>
      <w:r>
        <w:rPr>
          <w:rFonts w:hint="eastAsia" w:ascii="Times New Roman" w:hAnsi="Times New Roman" w:eastAsia="仿宋" w:cs="仿宋"/>
          <w:b w:val="0"/>
          <w:bCs w:val="0"/>
          <w:color w:val="auto"/>
          <w:sz w:val="32"/>
          <w:szCs w:val="32"/>
          <w:highlight w:val="none"/>
          <w:lang w:val="en-US" w:eastAsia="zh-CN"/>
        </w:rPr>
        <w:t>8</w:t>
      </w:r>
      <w:r>
        <w:rPr>
          <w:rFonts w:hint="eastAsia" w:ascii="Times New Roman" w:hAnsi="Times New Roman" w:eastAsia="仿宋" w:cs="仿宋"/>
          <w:b w:val="0"/>
          <w:bCs w:val="0"/>
          <w:color w:val="auto"/>
          <w:sz w:val="32"/>
          <w:szCs w:val="32"/>
          <w:highlight w:val="none"/>
          <w:lang w:eastAsia="zh-CN"/>
        </w:rPr>
        <w:t>件，调解率达2</w:t>
      </w:r>
      <w:r>
        <w:rPr>
          <w:rFonts w:hint="eastAsia" w:ascii="Times New Roman" w:hAnsi="Times New Roman" w:eastAsia="仿宋" w:cs="仿宋"/>
          <w:b w:val="0"/>
          <w:bCs w:val="0"/>
          <w:color w:val="auto"/>
          <w:sz w:val="32"/>
          <w:szCs w:val="32"/>
          <w:highlight w:val="none"/>
          <w:lang w:val="en-US" w:eastAsia="zh-CN"/>
        </w:rPr>
        <w:t>1</w:t>
      </w:r>
      <w:r>
        <w:rPr>
          <w:rFonts w:hint="eastAsia" w:ascii="Times New Roman" w:hAnsi="Times New Roman" w:eastAsia="仿宋" w:cs="仿宋"/>
          <w:b w:val="0"/>
          <w:bCs w:val="0"/>
          <w:color w:val="auto"/>
          <w:sz w:val="32"/>
          <w:szCs w:val="32"/>
          <w:highlight w:val="none"/>
          <w:lang w:eastAsia="zh-CN"/>
        </w:rPr>
        <w:t>.</w:t>
      </w:r>
      <w:r>
        <w:rPr>
          <w:rFonts w:hint="eastAsia" w:ascii="Times New Roman" w:hAnsi="Times New Roman" w:eastAsia="仿宋" w:cs="仿宋"/>
          <w:b w:val="0"/>
          <w:bCs w:val="0"/>
          <w:color w:val="auto"/>
          <w:sz w:val="32"/>
          <w:szCs w:val="32"/>
          <w:highlight w:val="none"/>
          <w:lang w:val="en-US" w:eastAsia="zh-CN"/>
        </w:rPr>
        <w:t>4</w:t>
      </w:r>
      <w:r>
        <w:rPr>
          <w:rFonts w:hint="eastAsia" w:ascii="Times New Roman" w:hAnsi="Times New Roman" w:eastAsia="仿宋" w:cs="仿宋"/>
          <w:b w:val="0"/>
          <w:bCs w:val="0"/>
          <w:color w:val="auto"/>
          <w:sz w:val="32"/>
          <w:szCs w:val="32"/>
          <w:highlight w:val="none"/>
          <w:lang w:eastAsia="zh-CN"/>
        </w:rPr>
        <w:t>%。优化办案模式，实行“开门办案”，开展现场调查</w:t>
      </w:r>
      <w:r>
        <w:rPr>
          <w:rFonts w:hint="eastAsia" w:ascii="Times New Roman" w:hAnsi="Times New Roman" w:eastAsia="仿宋" w:cs="仿宋"/>
          <w:b w:val="0"/>
          <w:bCs w:val="0"/>
          <w:color w:val="auto"/>
          <w:sz w:val="32"/>
          <w:szCs w:val="32"/>
          <w:highlight w:val="none"/>
          <w:lang w:val="en-US" w:eastAsia="zh-CN"/>
        </w:rPr>
        <w:t>6</w:t>
      </w:r>
      <w:r>
        <w:rPr>
          <w:rFonts w:hint="eastAsia" w:ascii="Times New Roman" w:hAnsi="Times New Roman" w:eastAsia="仿宋" w:cs="仿宋"/>
          <w:b w:val="0"/>
          <w:bCs w:val="0"/>
          <w:color w:val="auto"/>
          <w:sz w:val="32"/>
          <w:szCs w:val="32"/>
          <w:highlight w:val="none"/>
          <w:lang w:eastAsia="zh-CN"/>
        </w:rPr>
        <w:t>次，组织公开听证</w:t>
      </w:r>
      <w:r>
        <w:rPr>
          <w:rFonts w:hint="eastAsia" w:ascii="Times New Roman" w:hAnsi="Times New Roman" w:eastAsia="仿宋" w:cs="仿宋"/>
          <w:b w:val="0"/>
          <w:bCs w:val="0"/>
          <w:color w:val="auto"/>
          <w:sz w:val="32"/>
          <w:szCs w:val="32"/>
          <w:highlight w:val="none"/>
          <w:lang w:val="en-US" w:eastAsia="zh-CN"/>
        </w:rPr>
        <w:t>10</w:t>
      </w:r>
      <w:r>
        <w:rPr>
          <w:rFonts w:hint="eastAsia" w:ascii="Times New Roman" w:hAnsi="Times New Roman" w:eastAsia="仿宋" w:cs="仿宋"/>
          <w:b w:val="0"/>
          <w:bCs w:val="0"/>
          <w:color w:val="auto"/>
          <w:sz w:val="32"/>
          <w:szCs w:val="32"/>
          <w:highlight w:val="none"/>
          <w:lang w:eastAsia="zh-CN"/>
        </w:rPr>
        <w:t>次，提升复议公信力。探索“行政复议+执法监督”组合模式，推进执法问题协同监督，倒逼规范执法，有力提升执法能力水平。做好行政应诉工作，办理区政府行政诉讼案件</w:t>
      </w:r>
      <w:r>
        <w:rPr>
          <w:rFonts w:hint="eastAsia" w:ascii="Times New Roman" w:hAnsi="Times New Roman" w:eastAsia="仿宋" w:cs="仿宋"/>
          <w:b w:val="0"/>
          <w:bCs w:val="0"/>
          <w:color w:val="auto"/>
          <w:sz w:val="32"/>
          <w:szCs w:val="32"/>
          <w:highlight w:val="none"/>
          <w:lang w:val="en-US" w:eastAsia="zh-CN"/>
        </w:rPr>
        <w:t>86</w:t>
      </w:r>
      <w:r>
        <w:rPr>
          <w:rFonts w:hint="eastAsia" w:ascii="Times New Roman" w:hAnsi="Times New Roman" w:eastAsia="仿宋" w:cs="仿宋"/>
          <w:b w:val="0"/>
          <w:bCs w:val="0"/>
          <w:color w:val="auto"/>
          <w:sz w:val="32"/>
          <w:szCs w:val="32"/>
          <w:highlight w:val="none"/>
          <w:lang w:eastAsia="zh-CN"/>
        </w:rPr>
        <w:t>件，全区综合出庭应诉率1</w:t>
      </w:r>
      <w:r>
        <w:rPr>
          <w:rFonts w:hint="eastAsia" w:ascii="Times New Roman" w:hAnsi="Times New Roman" w:eastAsia="仿宋" w:cs="仿宋"/>
          <w:b w:val="0"/>
          <w:bCs w:val="0"/>
          <w:color w:val="auto"/>
          <w:sz w:val="32"/>
          <w:szCs w:val="32"/>
          <w:highlight w:val="none"/>
          <w:lang w:val="en-US" w:eastAsia="zh-CN"/>
        </w:rPr>
        <w:t>34</w:t>
      </w:r>
      <w:r>
        <w:rPr>
          <w:rFonts w:hint="eastAsia" w:ascii="Times New Roman" w:hAnsi="Times New Roman" w:eastAsia="仿宋" w:cs="仿宋"/>
          <w:b w:val="0"/>
          <w:bCs w:val="0"/>
          <w:color w:val="auto"/>
          <w:sz w:val="32"/>
          <w:szCs w:val="32"/>
          <w:highlight w:val="none"/>
          <w:lang w:eastAsia="zh-CN"/>
        </w:rPr>
        <w:t>%。</w:t>
      </w:r>
    </w:p>
    <w:p w14:paraId="197C2F03">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Times New Roman" w:hAnsi="Times New Roman" w:eastAsia="仿宋" w:cs="仿宋"/>
          <w:sz w:val="32"/>
          <w:szCs w:val="32"/>
          <w:highlight w:val="none"/>
          <w:lang w:eastAsia="zh-CN"/>
        </w:rPr>
      </w:pPr>
      <w:r>
        <w:rPr>
          <w:rFonts w:hint="eastAsia" w:ascii="楷体" w:hAnsi="楷体" w:eastAsia="楷体" w:cs="楷体"/>
          <w:b/>
          <w:bCs/>
          <w:sz w:val="32"/>
          <w:szCs w:val="32"/>
          <w:highlight w:val="none"/>
          <w:lang w:val="en-US" w:eastAsia="zh-CN"/>
        </w:rPr>
        <w:t>（七）加强矛盾化解，夯实社会长治久安基石</w:t>
      </w:r>
    </w:p>
    <w:p w14:paraId="2A36D613">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lang w:val="en-US" w:eastAsia="zh-CN"/>
        </w:rPr>
        <w:t>开展“化解矛盾风险、维护社会稳定”专项治理行动，排查3633次。受理人民调解案件680件，调解成功率100%，实现矛盾纠纷早发现、早化解。强化派出所、司法所、律所“三所联调”，设立13个驻派出所调解室，成功研判化解涉民间纠纷和轻微治安案件矛盾纠纷320余件。拓展调解渠道，深化“人民调节+N”模式，组建区人民调解专家库，打造驻同济医院和蓝烟国际汽车城2家调解工作室，成立2家人民调解委员会，助推矛盾纠纷分流化解。</w:t>
      </w:r>
    </w:p>
    <w:p w14:paraId="4C2A89D9">
      <w:pPr>
        <w:pStyle w:val="2"/>
        <w:keepNext w:val="0"/>
        <w:keepLines w:val="0"/>
        <w:pageBreakBefore w:val="0"/>
        <w:widowControl/>
        <w:wordWrap/>
        <w:overflowPunct/>
        <w:topLinePunct w:val="0"/>
        <w:autoSpaceDE w:val="0"/>
        <w:autoSpaceDN w:val="0"/>
        <w:bidi w:val="0"/>
        <w:adjustRightInd w:val="0"/>
        <w:snapToGrid w:val="0"/>
        <w:spacing w:line="570" w:lineRule="exact"/>
        <w:ind w:firstLine="643" w:firstLineChars="200"/>
        <w:textAlignment w:val="baseline"/>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（八）深耕普法教育，育强崇法向善社会新风</w:t>
      </w:r>
    </w:p>
    <w:p w14:paraId="4D42A49F">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压实落细普法责任制，做好“八五”普法收官验收工作。聚焦重要节点和宣传热点，围绕安全生产、防灾减灾、禁毒等中心工作，量身普法5000余场，覆盖群众18万余人次。编印青少年法治教育读本（家庭版），与小学版、中学版共同构成系列化读本体系。举办首届家庭教育交流座谈会，深化“大手拉小手 青年普法行”活动，青少年法治教育工作入选全国第三届法治时代创新论坛案例。创新举办全区“致敬宪法 辩守初心”法治辩论赛，以思辨之潮颂法治之理。建成硚口区法治宣传教育基地，先后组织首届夏日游园会活动、“法律明白人”实训等系列活动，苏州市人大、德阳市旌阳区政法单位慕名前来参观学习。</w:t>
      </w:r>
    </w:p>
    <w:p w14:paraId="76638D19">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二、存在的不足</w:t>
      </w:r>
    </w:p>
    <w:p w14:paraId="4D602BBA">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b/>
          <w:bCs/>
          <w:sz w:val="32"/>
          <w:szCs w:val="32"/>
          <w:highlight w:val="none"/>
          <w:lang w:val="en-US" w:eastAsia="zh-CN"/>
        </w:rPr>
        <w:t>一是</w:t>
      </w:r>
      <w:r>
        <w:rPr>
          <w:rFonts w:hint="eastAsia" w:ascii="Times New Roman" w:hAnsi="Times New Roman" w:eastAsia="仿宋" w:cs="仿宋"/>
          <w:sz w:val="32"/>
          <w:szCs w:val="32"/>
          <w:highlight w:val="none"/>
          <w:lang w:val="en-US" w:eastAsia="zh-CN"/>
        </w:rPr>
        <w:t>依法行政意识有待加强。少数部门对本部门适用的法律规范、法定职能定位理解不深，部分工作人员学法、尊法、守法和依法行政的意识较为薄弱。</w:t>
      </w:r>
      <w:r>
        <w:rPr>
          <w:rFonts w:hint="eastAsia" w:ascii="Times New Roman" w:hAnsi="Times New Roman" w:eastAsia="仿宋" w:cs="仿宋"/>
          <w:b/>
          <w:bCs/>
          <w:sz w:val="32"/>
          <w:szCs w:val="32"/>
          <w:highlight w:val="none"/>
          <w:lang w:val="en-US" w:eastAsia="zh-CN"/>
        </w:rPr>
        <w:t>二是</w:t>
      </w:r>
      <w:r>
        <w:rPr>
          <w:rFonts w:hint="eastAsia" w:ascii="Times New Roman" w:hAnsi="Times New Roman" w:eastAsia="仿宋" w:cs="仿宋"/>
          <w:sz w:val="32"/>
          <w:szCs w:val="32"/>
          <w:highlight w:val="none"/>
          <w:lang w:val="en-US" w:eastAsia="zh-CN"/>
        </w:rPr>
        <w:t>行政执法规范化建设水平亟待提升。个别部门法制审核专业力量配备不足，执法业务培训的频次与针对性欠缺，执法人员专业能力和综合素养有待增强。</w:t>
      </w:r>
      <w:r>
        <w:rPr>
          <w:rFonts w:hint="eastAsia" w:ascii="Times New Roman" w:hAnsi="Times New Roman" w:eastAsia="仿宋" w:cs="仿宋"/>
          <w:b/>
          <w:bCs/>
          <w:sz w:val="32"/>
          <w:szCs w:val="32"/>
          <w:highlight w:val="none"/>
          <w:lang w:val="en-US" w:eastAsia="zh-CN"/>
        </w:rPr>
        <w:t>三是</w:t>
      </w:r>
      <w:r>
        <w:rPr>
          <w:rFonts w:hint="eastAsia" w:ascii="Times New Roman" w:hAnsi="Times New Roman" w:eastAsia="仿宋" w:cs="仿宋"/>
          <w:sz w:val="32"/>
          <w:szCs w:val="32"/>
          <w:highlight w:val="none"/>
          <w:lang w:val="en-US" w:eastAsia="zh-CN"/>
        </w:rPr>
        <w:t>行政复议中心建设进程相对滞后。当前行政复议工作力量配置与日益增长的实际业务需求不匹配，人员队伍的专业能力、硬件设施保障等难以满足复议工作高效开展的需要。</w:t>
      </w:r>
      <w:r>
        <w:rPr>
          <w:rFonts w:hint="eastAsia" w:ascii="Times New Roman" w:hAnsi="Times New Roman" w:eastAsia="仿宋" w:cs="仿宋"/>
          <w:b/>
          <w:bCs/>
          <w:sz w:val="32"/>
          <w:szCs w:val="32"/>
          <w:highlight w:val="none"/>
          <w:lang w:val="en-US" w:eastAsia="zh-CN"/>
        </w:rPr>
        <w:t>四是</w:t>
      </w:r>
      <w:r>
        <w:rPr>
          <w:rFonts w:hint="eastAsia" w:ascii="Times New Roman" w:hAnsi="Times New Roman" w:eastAsia="仿宋" w:cs="仿宋"/>
          <w:sz w:val="32"/>
          <w:szCs w:val="32"/>
          <w:highlight w:val="none"/>
          <w:lang w:val="en-US" w:eastAsia="zh-CN"/>
        </w:rPr>
        <w:t>街道综合行政执法体制机制尚需完善。街道履职清单印发实施后，赋权事项的动态调整机制尚未完全理顺，部分赋权部门与街道之间执法协调、业务指导、信息沟通渠道还需进一步优化畅通。</w:t>
      </w:r>
    </w:p>
    <w:p w14:paraId="2C53651B">
      <w:pPr>
        <w:keepNext w:val="0"/>
        <w:keepLines w:val="0"/>
        <w:pageBreakBefore w:val="0"/>
        <w:widowControl/>
        <w:kinsoku/>
        <w:wordWrap/>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三、2026年法治政府建设主要安排</w:t>
      </w:r>
    </w:p>
    <w:p w14:paraId="589B604C">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Times New Roman" w:hAnsi="Times New Roman" w:eastAsia="仿宋" w:cs="仿宋"/>
          <w:sz w:val="32"/>
          <w:szCs w:val="32"/>
          <w:highlight w:val="none"/>
          <w:lang w:val="en-US" w:eastAsia="zh-CN"/>
        </w:rPr>
      </w:pPr>
      <w:r>
        <w:rPr>
          <w:rFonts w:hint="eastAsia" w:ascii="楷体" w:hAnsi="楷体" w:eastAsia="楷体" w:cs="楷体"/>
          <w:b/>
          <w:bCs/>
          <w:sz w:val="32"/>
          <w:szCs w:val="32"/>
          <w:highlight w:val="none"/>
          <w:lang w:val="en-US" w:eastAsia="zh-CN"/>
        </w:rPr>
        <w:t>（一）加强重大行政决策和规范性文件管理。</w:t>
      </w:r>
      <w:r>
        <w:rPr>
          <w:rFonts w:hint="eastAsia" w:ascii="Times New Roman" w:hAnsi="Times New Roman" w:eastAsia="仿宋" w:cs="仿宋"/>
          <w:sz w:val="32"/>
          <w:szCs w:val="32"/>
          <w:highlight w:val="none"/>
          <w:lang w:val="en-US" w:eastAsia="zh-CN"/>
        </w:rPr>
        <w:t>强化重大决策事项合法性审查，规范决策目录编制，加强重大行政决策后评估管理。严格规范性文件管理和清理，确保符合优化营商环境、经济社会发展新要求。</w:t>
      </w:r>
    </w:p>
    <w:p w14:paraId="6D999D17">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Times New Roman" w:hAnsi="Times New Roman" w:eastAsia="仿宋" w:cs="仿宋"/>
          <w:sz w:val="32"/>
          <w:szCs w:val="32"/>
          <w:highlight w:val="none"/>
          <w:lang w:val="en-US" w:eastAsia="zh-CN"/>
        </w:rPr>
      </w:pPr>
      <w:r>
        <w:rPr>
          <w:rFonts w:hint="eastAsia" w:ascii="楷体" w:hAnsi="楷体" w:eastAsia="楷体" w:cs="楷体"/>
          <w:b/>
          <w:bCs/>
          <w:sz w:val="32"/>
          <w:szCs w:val="32"/>
          <w:highlight w:val="none"/>
          <w:lang w:val="en-US" w:eastAsia="zh-CN"/>
        </w:rPr>
        <w:t>（二）完善行政执法监督协调机制。</w:t>
      </w:r>
      <w:r>
        <w:rPr>
          <w:rFonts w:hint="eastAsia" w:ascii="Times New Roman" w:hAnsi="Times New Roman" w:eastAsia="仿宋" w:cs="仿宋"/>
          <w:sz w:val="32"/>
          <w:szCs w:val="32"/>
          <w:highlight w:val="none"/>
          <w:lang w:val="en-US" w:eastAsia="zh-CN"/>
        </w:rPr>
        <w:t>组织清理全区执法主体和执法事项，理清权责边界。以街道综合履职事项动态调整为契机，扎实推进街道综合执法规范化建设。完善区、街两级行政执法监督体系，用好第三方力量参与执法监督工作。</w:t>
      </w:r>
    </w:p>
    <w:p w14:paraId="379AA3CB">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Times New Roman" w:hAnsi="Times New Roman" w:eastAsia="仿宋" w:cs="仿宋"/>
          <w:sz w:val="32"/>
          <w:szCs w:val="32"/>
          <w:highlight w:val="none"/>
          <w:lang w:val="en-US" w:eastAsia="zh-CN"/>
        </w:rPr>
      </w:pPr>
      <w:r>
        <w:rPr>
          <w:rFonts w:hint="eastAsia" w:ascii="楷体" w:hAnsi="楷体" w:eastAsia="楷体" w:cs="楷体"/>
          <w:b/>
          <w:bCs/>
          <w:sz w:val="32"/>
          <w:szCs w:val="32"/>
          <w:highlight w:val="none"/>
          <w:lang w:val="en-US" w:eastAsia="zh-CN"/>
        </w:rPr>
        <w:t>（三）持续优化法治化营商环境。</w:t>
      </w:r>
      <w:r>
        <w:rPr>
          <w:rFonts w:hint="eastAsia" w:ascii="Times New Roman" w:hAnsi="Times New Roman" w:eastAsia="仿宋" w:cs="仿宋"/>
          <w:sz w:val="32"/>
          <w:szCs w:val="32"/>
          <w:highlight w:val="none"/>
          <w:lang w:val="en-US" w:eastAsia="zh-CN"/>
        </w:rPr>
        <w:t>优化涉企政务服务，建立审批、监管部门联合踏勘、要事会商、信息反馈制度，实现审管高效联动。细化涉企执法监管，落实《武汉市规范涉企行政检查办法》，开展规范行政执法专项行动，打造亲商友商的法治化营商环境。</w:t>
      </w:r>
    </w:p>
    <w:p w14:paraId="2548F90F">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Times New Roman" w:hAnsi="Times New Roman" w:eastAsia="仿宋" w:cs="仿宋"/>
          <w:sz w:val="32"/>
          <w:szCs w:val="32"/>
          <w:highlight w:val="none"/>
          <w:lang w:val="en-US" w:eastAsia="zh-CN"/>
        </w:rPr>
      </w:pPr>
      <w:r>
        <w:rPr>
          <w:rFonts w:hint="eastAsia" w:ascii="楷体" w:hAnsi="楷体" w:eastAsia="楷体" w:cs="楷体"/>
          <w:b/>
          <w:bCs/>
          <w:sz w:val="32"/>
          <w:szCs w:val="32"/>
          <w:highlight w:val="none"/>
          <w:lang w:val="en-US" w:eastAsia="zh-CN"/>
        </w:rPr>
        <w:t>（四）科学谋划“九五”普法规划。</w:t>
      </w:r>
      <w:r>
        <w:rPr>
          <w:rFonts w:hint="eastAsia" w:ascii="Times New Roman" w:hAnsi="Times New Roman" w:eastAsia="仿宋" w:cs="仿宋"/>
          <w:sz w:val="32"/>
          <w:szCs w:val="32"/>
          <w:highlight w:val="none"/>
          <w:lang w:val="en-US" w:eastAsia="zh-CN"/>
        </w:rPr>
        <w:t>建立“群众需求清单+普法资源清单”动态匹配机制，加强新兴领域普法，构建多元化传播矩阵，打造特色法治宣传文化品牌。</w:t>
      </w:r>
    </w:p>
    <w:p w14:paraId="4A7EBA9C">
      <w:pPr>
        <w:keepNext w:val="0"/>
        <w:keepLines w:val="0"/>
        <w:pageBreakBefore w:val="0"/>
        <w:widowControl/>
        <w:kinsoku/>
        <w:wordWrap/>
        <w:overflowPunct/>
        <w:topLinePunct w:val="0"/>
        <w:autoSpaceDE w:val="0"/>
        <w:autoSpaceDN w:val="0"/>
        <w:bidi w:val="0"/>
        <w:adjustRightInd w:val="0"/>
        <w:snapToGrid w:val="0"/>
        <w:spacing w:line="570" w:lineRule="exact"/>
        <w:ind w:firstLine="643" w:firstLineChars="200"/>
        <w:jc w:val="both"/>
        <w:textAlignment w:val="baseline"/>
        <w:rPr>
          <w:rFonts w:hint="eastAsia" w:ascii="Times New Roman" w:hAnsi="Times New Roman" w:eastAsia="仿宋" w:cs="仿宋"/>
          <w:sz w:val="32"/>
          <w:szCs w:val="32"/>
          <w:highlight w:val="none"/>
        </w:rPr>
      </w:pPr>
      <w:r>
        <w:rPr>
          <w:rFonts w:hint="eastAsia" w:ascii="楷体" w:hAnsi="楷体" w:eastAsia="楷体" w:cs="楷体"/>
          <w:b/>
          <w:bCs/>
          <w:sz w:val="32"/>
          <w:szCs w:val="32"/>
          <w:highlight w:val="none"/>
          <w:lang w:val="en-US" w:eastAsia="zh-CN"/>
        </w:rPr>
        <w:t>（五）高效化解社会矛盾纠纷。</w:t>
      </w:r>
      <w:r>
        <w:rPr>
          <w:rFonts w:hint="eastAsia" w:ascii="Times New Roman" w:hAnsi="Times New Roman" w:eastAsia="仿宋" w:cs="仿宋"/>
          <w:sz w:val="32"/>
          <w:szCs w:val="32"/>
          <w:highlight w:val="none"/>
          <w:lang w:val="en-US" w:eastAsia="zh-CN"/>
        </w:rPr>
        <w:t>完善基层多元解纷联动模式，落细重点领域专项共治机制，擦亮“三所联动+N”品牌。坚持行政复议开门办案，以调解和解方式推动更多行政争议在前端化解，加强败诉案件复盘和责任传导，多措并举倒逼源头规范执法。</w:t>
      </w:r>
    </w:p>
    <w:sectPr>
      <w:footerReference r:id="rId5" w:type="default"/>
      <w:pgSz w:w="11850" w:h="16783"/>
      <w:pgMar w:top="2098" w:right="1531" w:bottom="1984" w:left="1531" w:header="0" w:footer="149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公文小标宋简">
    <w:altName w:val="宋体"/>
    <w:panose1 w:val="00000000000000000000"/>
    <w:charset w:val="00"/>
    <w:family w:val="modern"/>
    <w:pitch w:val="default"/>
    <w:sig w:usb0="00000000" w:usb1="00000000" w:usb2="0000001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6903">
    <w:pPr>
      <w:spacing w:line="181" w:lineRule="auto"/>
      <w:ind w:left="7792"/>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2133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13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8277B">
                          <w:pPr>
                            <w:pStyle w:val="4"/>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8pt;width:144pt;mso-position-horizontal:center;mso-position-horizontal-relative:margin;mso-wrap-style:none;z-index:251659264;mso-width-relative:page;mso-height-relative:page;" filled="f" stroked="f" coordsize="21600,21600" o:gfxdata="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YDXSdQAAAAEAQAADwAAAAAAAAABACAAAAAiAAAAZHJzL2Rvd25yZXYueG1s&#10;UEsBAhQAFAAAAAgAh07iQMsDpjc1AgAAYAQAAA4AAAAAAAAAAQAgAAAAIwEAAGRycy9lMm9Eb2Mu&#10;eG1sUEsFBgAAAAAGAAYAWQEAAMoFAAAAAA==&#10;">
              <v:fill on="f" focussize="0,0"/>
              <v:stroke on="f" weight="0.5pt"/>
              <v:imagedata o:title=""/>
              <o:lock v:ext="edit" aspectratio="f"/>
              <v:textbox inset="0mm,0mm,0mm,0mm">
                <w:txbxContent>
                  <w:p w14:paraId="06D8277B">
                    <w:pPr>
                      <w:pStyle w:val="4"/>
                    </w:pPr>
                    <w: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325E8"/>
    <w:rsid w:val="00021567"/>
    <w:rsid w:val="00116F57"/>
    <w:rsid w:val="00691EE3"/>
    <w:rsid w:val="01D025CD"/>
    <w:rsid w:val="03E71E99"/>
    <w:rsid w:val="04204CEA"/>
    <w:rsid w:val="04CE5ACF"/>
    <w:rsid w:val="04D05408"/>
    <w:rsid w:val="04E11CA6"/>
    <w:rsid w:val="05404C1F"/>
    <w:rsid w:val="056326BB"/>
    <w:rsid w:val="05B42F17"/>
    <w:rsid w:val="05C70E9C"/>
    <w:rsid w:val="05E41D48"/>
    <w:rsid w:val="0624298F"/>
    <w:rsid w:val="073836D3"/>
    <w:rsid w:val="07C81BD2"/>
    <w:rsid w:val="07F12200"/>
    <w:rsid w:val="098F78E3"/>
    <w:rsid w:val="0AF70CD7"/>
    <w:rsid w:val="0B166313"/>
    <w:rsid w:val="0B2621C1"/>
    <w:rsid w:val="0B7C44D7"/>
    <w:rsid w:val="0BAC07D1"/>
    <w:rsid w:val="0BAF665A"/>
    <w:rsid w:val="0C6A2581"/>
    <w:rsid w:val="0DB02216"/>
    <w:rsid w:val="0E5434E9"/>
    <w:rsid w:val="0EA7186A"/>
    <w:rsid w:val="0F3810DA"/>
    <w:rsid w:val="0F4B669A"/>
    <w:rsid w:val="10506FE9"/>
    <w:rsid w:val="10A50CDB"/>
    <w:rsid w:val="11252F1A"/>
    <w:rsid w:val="113849FC"/>
    <w:rsid w:val="11E701D0"/>
    <w:rsid w:val="121134C2"/>
    <w:rsid w:val="12B02C3F"/>
    <w:rsid w:val="12C66037"/>
    <w:rsid w:val="1336140F"/>
    <w:rsid w:val="138A3509"/>
    <w:rsid w:val="13983E78"/>
    <w:rsid w:val="13FF2FDC"/>
    <w:rsid w:val="143F60A1"/>
    <w:rsid w:val="14445DAD"/>
    <w:rsid w:val="1560771A"/>
    <w:rsid w:val="16092E0B"/>
    <w:rsid w:val="16FC296F"/>
    <w:rsid w:val="18B03A11"/>
    <w:rsid w:val="1A0E6C42"/>
    <w:rsid w:val="1AD551F8"/>
    <w:rsid w:val="1B9211AC"/>
    <w:rsid w:val="1BD6378F"/>
    <w:rsid w:val="1D5030CD"/>
    <w:rsid w:val="1D66567A"/>
    <w:rsid w:val="1D7C63C2"/>
    <w:rsid w:val="1D954F84"/>
    <w:rsid w:val="1DD86E66"/>
    <w:rsid w:val="1DE556A1"/>
    <w:rsid w:val="1E6931B2"/>
    <w:rsid w:val="1E6C3F37"/>
    <w:rsid w:val="1E9562CB"/>
    <w:rsid w:val="1E9E0454"/>
    <w:rsid w:val="1EC22FA6"/>
    <w:rsid w:val="1F316F2E"/>
    <w:rsid w:val="1F9A4AD4"/>
    <w:rsid w:val="201E3957"/>
    <w:rsid w:val="20205DD4"/>
    <w:rsid w:val="207417C9"/>
    <w:rsid w:val="208337BA"/>
    <w:rsid w:val="20B816B5"/>
    <w:rsid w:val="216058A9"/>
    <w:rsid w:val="21723F5A"/>
    <w:rsid w:val="21913753"/>
    <w:rsid w:val="22761828"/>
    <w:rsid w:val="247E1C49"/>
    <w:rsid w:val="248D2A78"/>
    <w:rsid w:val="249064A5"/>
    <w:rsid w:val="253F4153"/>
    <w:rsid w:val="263877E8"/>
    <w:rsid w:val="26DB60FD"/>
    <w:rsid w:val="27C60B5C"/>
    <w:rsid w:val="27DF1C1D"/>
    <w:rsid w:val="28235FAE"/>
    <w:rsid w:val="2835183D"/>
    <w:rsid w:val="285048C9"/>
    <w:rsid w:val="28553C8E"/>
    <w:rsid w:val="2871299E"/>
    <w:rsid w:val="289A51D2"/>
    <w:rsid w:val="2A922F77"/>
    <w:rsid w:val="2A944F41"/>
    <w:rsid w:val="2B031A65"/>
    <w:rsid w:val="2B49495B"/>
    <w:rsid w:val="2BDC1791"/>
    <w:rsid w:val="2C0C6D59"/>
    <w:rsid w:val="2C857487"/>
    <w:rsid w:val="2CD05FD9"/>
    <w:rsid w:val="2CFA3055"/>
    <w:rsid w:val="2D3E1194"/>
    <w:rsid w:val="2D880661"/>
    <w:rsid w:val="2DBD030B"/>
    <w:rsid w:val="2E506E4D"/>
    <w:rsid w:val="2F0D621C"/>
    <w:rsid w:val="2F394AD0"/>
    <w:rsid w:val="2F9E23BE"/>
    <w:rsid w:val="30211AA0"/>
    <w:rsid w:val="30F1651D"/>
    <w:rsid w:val="3138414C"/>
    <w:rsid w:val="32F522F5"/>
    <w:rsid w:val="33363F25"/>
    <w:rsid w:val="353C06AF"/>
    <w:rsid w:val="353D2D37"/>
    <w:rsid w:val="356A2349"/>
    <w:rsid w:val="35BE2E72"/>
    <w:rsid w:val="369E5720"/>
    <w:rsid w:val="36B711AA"/>
    <w:rsid w:val="37D42E21"/>
    <w:rsid w:val="383F56CF"/>
    <w:rsid w:val="38A071A7"/>
    <w:rsid w:val="3C687FDC"/>
    <w:rsid w:val="3D6A7D83"/>
    <w:rsid w:val="3DB159B2"/>
    <w:rsid w:val="3DC56D68"/>
    <w:rsid w:val="3DDA6CB7"/>
    <w:rsid w:val="3DE43692"/>
    <w:rsid w:val="3FBD56F6"/>
    <w:rsid w:val="409F5F96"/>
    <w:rsid w:val="40A47108"/>
    <w:rsid w:val="40EE65D6"/>
    <w:rsid w:val="41391F47"/>
    <w:rsid w:val="41713D3A"/>
    <w:rsid w:val="419E1DAA"/>
    <w:rsid w:val="42460C40"/>
    <w:rsid w:val="426D634C"/>
    <w:rsid w:val="4346094B"/>
    <w:rsid w:val="4359067E"/>
    <w:rsid w:val="43AE09CA"/>
    <w:rsid w:val="44C66B99"/>
    <w:rsid w:val="45181E73"/>
    <w:rsid w:val="451A208F"/>
    <w:rsid w:val="451D3927"/>
    <w:rsid w:val="45586109"/>
    <w:rsid w:val="4654337F"/>
    <w:rsid w:val="46623CEE"/>
    <w:rsid w:val="468233BB"/>
    <w:rsid w:val="47376F28"/>
    <w:rsid w:val="47453C9C"/>
    <w:rsid w:val="487D096B"/>
    <w:rsid w:val="48B63E7D"/>
    <w:rsid w:val="49485423"/>
    <w:rsid w:val="4A91694F"/>
    <w:rsid w:val="4BF8745D"/>
    <w:rsid w:val="4C9149E5"/>
    <w:rsid w:val="4CE96FF6"/>
    <w:rsid w:val="4D0F52FA"/>
    <w:rsid w:val="4E6240C9"/>
    <w:rsid w:val="4F0325E8"/>
    <w:rsid w:val="50852AB2"/>
    <w:rsid w:val="51111B11"/>
    <w:rsid w:val="515B644C"/>
    <w:rsid w:val="5189302F"/>
    <w:rsid w:val="53277E51"/>
    <w:rsid w:val="532845FF"/>
    <w:rsid w:val="53906CC1"/>
    <w:rsid w:val="54322F51"/>
    <w:rsid w:val="547075D6"/>
    <w:rsid w:val="54775021"/>
    <w:rsid w:val="54B92FBC"/>
    <w:rsid w:val="55406AB5"/>
    <w:rsid w:val="55466588"/>
    <w:rsid w:val="55627866"/>
    <w:rsid w:val="5579695E"/>
    <w:rsid w:val="55A82D9F"/>
    <w:rsid w:val="58BC728D"/>
    <w:rsid w:val="58D8399B"/>
    <w:rsid w:val="59722A6A"/>
    <w:rsid w:val="5A1774B8"/>
    <w:rsid w:val="5A3468BE"/>
    <w:rsid w:val="5A6A4AC7"/>
    <w:rsid w:val="5B4B2B4A"/>
    <w:rsid w:val="5B6E63E8"/>
    <w:rsid w:val="5B717B25"/>
    <w:rsid w:val="5B81656C"/>
    <w:rsid w:val="5BB5A2A9"/>
    <w:rsid w:val="5BC87CF7"/>
    <w:rsid w:val="5C34538D"/>
    <w:rsid w:val="5D53471F"/>
    <w:rsid w:val="5D72616D"/>
    <w:rsid w:val="5E115985"/>
    <w:rsid w:val="5ED115B9"/>
    <w:rsid w:val="5F0E0117"/>
    <w:rsid w:val="5F3723CA"/>
    <w:rsid w:val="604364E6"/>
    <w:rsid w:val="60791F08"/>
    <w:rsid w:val="60854409"/>
    <w:rsid w:val="615564D1"/>
    <w:rsid w:val="617701F5"/>
    <w:rsid w:val="62793032"/>
    <w:rsid w:val="63213668"/>
    <w:rsid w:val="635C2F52"/>
    <w:rsid w:val="65BE658D"/>
    <w:rsid w:val="66123CE5"/>
    <w:rsid w:val="66B23A7E"/>
    <w:rsid w:val="66D460EA"/>
    <w:rsid w:val="67472418"/>
    <w:rsid w:val="67513297"/>
    <w:rsid w:val="67713939"/>
    <w:rsid w:val="681542C4"/>
    <w:rsid w:val="68630745"/>
    <w:rsid w:val="68E601DC"/>
    <w:rsid w:val="6A026ACA"/>
    <w:rsid w:val="6A67569D"/>
    <w:rsid w:val="6AF15F81"/>
    <w:rsid w:val="6B5B46E4"/>
    <w:rsid w:val="6B811C71"/>
    <w:rsid w:val="6BC24763"/>
    <w:rsid w:val="6BE30A4E"/>
    <w:rsid w:val="6BEC17E0"/>
    <w:rsid w:val="6BF15048"/>
    <w:rsid w:val="6BFF7F5C"/>
    <w:rsid w:val="6C316086"/>
    <w:rsid w:val="6CBB0161"/>
    <w:rsid w:val="6E1B45FE"/>
    <w:rsid w:val="6EAA1122"/>
    <w:rsid w:val="6EE60768"/>
    <w:rsid w:val="6F743099"/>
    <w:rsid w:val="6FA0300D"/>
    <w:rsid w:val="7026660F"/>
    <w:rsid w:val="719223C0"/>
    <w:rsid w:val="720A6E64"/>
    <w:rsid w:val="73113A33"/>
    <w:rsid w:val="731E09D0"/>
    <w:rsid w:val="737D4CCB"/>
    <w:rsid w:val="73BC5F3C"/>
    <w:rsid w:val="73DB0AB8"/>
    <w:rsid w:val="741B4EC8"/>
    <w:rsid w:val="74485A21"/>
    <w:rsid w:val="749A685B"/>
    <w:rsid w:val="74C23A26"/>
    <w:rsid w:val="753D12FE"/>
    <w:rsid w:val="75FBD2F9"/>
    <w:rsid w:val="7674E50A"/>
    <w:rsid w:val="76F123A0"/>
    <w:rsid w:val="77183DD1"/>
    <w:rsid w:val="77253DF8"/>
    <w:rsid w:val="77741A20"/>
    <w:rsid w:val="77ED75D3"/>
    <w:rsid w:val="78373F50"/>
    <w:rsid w:val="786F5C73"/>
    <w:rsid w:val="78A43B6E"/>
    <w:rsid w:val="78AE7370"/>
    <w:rsid w:val="7931117A"/>
    <w:rsid w:val="795658A6"/>
    <w:rsid w:val="7A2B7F7C"/>
    <w:rsid w:val="7B8C6B3B"/>
    <w:rsid w:val="7B9A7A65"/>
    <w:rsid w:val="7BE2675B"/>
    <w:rsid w:val="7BFF3711"/>
    <w:rsid w:val="7C294A0C"/>
    <w:rsid w:val="7D0C38B8"/>
    <w:rsid w:val="7D3E5C13"/>
    <w:rsid w:val="7DA97531"/>
    <w:rsid w:val="7DBF63A1"/>
    <w:rsid w:val="7DE642E1"/>
    <w:rsid w:val="7F0C04D6"/>
    <w:rsid w:val="7FBFEA4D"/>
    <w:rsid w:val="7FD9778D"/>
    <w:rsid w:val="CB7E6AEF"/>
    <w:rsid w:val="E77BB882"/>
    <w:rsid w:val="F6BB2E2A"/>
    <w:rsid w:val="F6FF1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semiHidden/>
    <w:unhideWhenUsed/>
    <w:qFormat/>
    <w:uiPriority w:val="0"/>
    <w:pPr>
      <w:keepNext/>
      <w:keepLines/>
      <w:spacing w:before="1000" w:after="400"/>
      <w:jc w:val="center"/>
      <w:outlineLvl w:val="2"/>
    </w:pPr>
    <w:rPr>
      <w:rFonts w:ascii="公文小标宋简" w:hAnsi="公文小标宋简" w:eastAsia="公文小标宋简"/>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2136</Words>
  <Characters>2235</Characters>
  <Lines>0</Lines>
  <Paragraphs>0</Paragraphs>
  <TotalTime>2</TotalTime>
  <ScaleCrop>false</ScaleCrop>
  <LinksUpToDate>false</LinksUpToDate>
  <CharactersWithSpaces>2237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2025-11-19T01:34:00Z</dcterms:created>
  <dc:creator>Administrator</dc:creator>
  <cp:lastModifiedBy>计芸芸</cp:lastModifiedBy>
  <cp:lastPrinted>2025-12-27T09:57:00Z</cp:lastPrinted>
  <dcterms:modified xsi:type="dcterms:W3CDTF">2026-03-03T07:25:49Z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296909F01B58456D91A47A532EBF6383_13</vt:lpwstr>
  </property>
  <property fmtid="{D5CDD505-2E9C-101B-9397-08002B2CF9AE}" pid="4" name="KSOTemplateDocerSaveRecord">
    <vt:lpwstr>eyJoZGlkIjoiNWViNWM5MGQwODFmMTZhYjAxNzgzNTAyYzYwODYwZTMiLCJ1c2VySWQiOiIzNTIyODE5NzIifQ==</vt:lpwstr>
  </property>
</Properties>
</file>