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cs="仿宋_GB231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2021</w:t>
      </w:r>
      <w:r>
        <w:rPr>
          <w:rFonts w:hint="eastAsia" w:ascii="方正小标宋简体" w:hAnsi="方正小标宋简体" w:eastAsia="方正小标宋简体" w:cs="方正小标宋简体"/>
          <w:sz w:val="44"/>
          <w:szCs w:val="44"/>
        </w:rPr>
        <w:t>年全区文化旅游体育工作要点</w:t>
      </w:r>
    </w:p>
    <w:p>
      <w:pPr>
        <w:spacing w:line="600" w:lineRule="exact"/>
        <w:jc w:val="center"/>
        <w:rPr>
          <w:rFonts w:hint="eastAsia" w:ascii="方正小标宋_GBK" w:hAnsi="方正小标宋_GBK" w:eastAsia="方正小标宋_GBK" w:cs="方正小标宋_GBK"/>
          <w:sz w:val="44"/>
          <w:szCs w:val="44"/>
        </w:rPr>
      </w:pPr>
    </w:p>
    <w:p>
      <w:pPr>
        <w:rPr>
          <w:rFonts w:hint="eastAsia" w:ascii="黑体" w:hAnsi="黑体" w:eastAsia="黑体" w:cs="黑体"/>
          <w:szCs w:val="32"/>
        </w:rPr>
      </w:pPr>
    </w:p>
    <w:p>
      <w:pPr>
        <w:ind w:firstLine="630" w:firstLineChars="200"/>
        <w:rPr>
          <w:rFonts w:hint="eastAsia" w:ascii="仿宋_GB2312" w:hAnsi="仿宋_GB2312" w:cs="仿宋_GB2312"/>
          <w:szCs w:val="32"/>
        </w:rPr>
      </w:pPr>
      <w:r>
        <w:rPr>
          <w:rFonts w:hint="eastAsia" w:ascii="Times New Roman" w:hAnsi="Times New Roman" w:cs="仿宋_GB2312"/>
          <w:sz w:val="32"/>
          <w:szCs w:val="32"/>
        </w:rPr>
        <w:t>2021</w:t>
      </w:r>
      <w:r>
        <w:rPr>
          <w:rFonts w:hint="eastAsia" w:ascii="仿宋_GB2312" w:hAnsi="仿宋_GB2312" w:cs="仿宋_GB2312"/>
          <w:szCs w:val="32"/>
        </w:rPr>
        <w:t>年是中国共产党成立</w:t>
      </w:r>
      <w:r>
        <w:rPr>
          <w:rFonts w:hint="eastAsia" w:ascii="Times New Roman" w:hAnsi="Times New Roman" w:cs="仿宋_GB2312"/>
          <w:sz w:val="32"/>
          <w:szCs w:val="32"/>
        </w:rPr>
        <w:t>100</w:t>
      </w:r>
      <w:r>
        <w:rPr>
          <w:rFonts w:hint="eastAsia" w:ascii="仿宋_GB2312" w:hAnsi="仿宋_GB2312" w:cs="仿宋_GB2312"/>
          <w:szCs w:val="32"/>
        </w:rPr>
        <w:t>周年，是“十四五”规划开局之年。全区文化旅游体育工作要坚持以习近平新时代中国特色社会主义思想为指导，深入贯彻党的十九大和十九届二中、三中、四中、五中全会精神，系统学习习近平总书记关于文化旅游体育工作的重要论述和重要指示批示精神，立足新发展阶段，贯彻新发展理念，构建新发展格局，紧紧围绕“举旗帜、聚民心、育新人、兴文化、展形象”的使命任务，以社会主义核心价值观为引领，以满足人民文化需求和增强人民精神力量为着力点，努力创作优秀文艺作品，构建更高水平的全民健身公共服务体系，开创文化旅游体育发展新局面，为打造转型发展示范区、改革创新先行区、三生融合样板区，全面复兴硚口营造良好文化氛围，以优异成绩庆祝建党</w:t>
      </w:r>
      <w:r>
        <w:rPr>
          <w:rFonts w:hint="eastAsia" w:ascii="Times New Roman" w:hAnsi="Times New Roman" w:cs="仿宋_GB2312"/>
          <w:sz w:val="32"/>
          <w:szCs w:val="32"/>
        </w:rPr>
        <w:t>100</w:t>
      </w:r>
      <w:r>
        <w:rPr>
          <w:rFonts w:hint="eastAsia" w:ascii="仿宋_GB2312" w:hAnsi="仿宋_GB2312" w:cs="仿宋_GB2312"/>
          <w:szCs w:val="32"/>
        </w:rPr>
        <w:t>周年。</w:t>
      </w:r>
    </w:p>
    <w:p>
      <w:pPr>
        <w:ind w:firstLine="630" w:firstLineChars="200"/>
        <w:rPr>
          <w:rFonts w:hint="eastAsia" w:ascii="黑体" w:hAnsi="黑体" w:eastAsia="黑体" w:cs="黑体"/>
          <w:szCs w:val="32"/>
        </w:rPr>
      </w:pPr>
      <w:r>
        <w:rPr>
          <w:rFonts w:hint="eastAsia" w:ascii="黑体" w:hAnsi="黑体" w:eastAsia="黑体" w:cs="黑体"/>
          <w:szCs w:val="32"/>
        </w:rPr>
        <w:t>一、着力理论武装，提高党建科学化水平</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1</w:t>
      </w:r>
      <w:r>
        <w:rPr>
          <w:rFonts w:hint="eastAsia" w:ascii="仿宋_GB2312" w:hAnsi="仿宋_GB2312" w:cs="仿宋_GB2312"/>
          <w:b/>
          <w:bCs/>
          <w:szCs w:val="32"/>
        </w:rPr>
        <w:t>.持续深化理论学习。</w:t>
      </w:r>
      <w:r>
        <w:rPr>
          <w:rFonts w:hint="eastAsia" w:ascii="仿宋_GB2312" w:hAnsi="仿宋_GB2312" w:cs="仿宋_GB2312"/>
          <w:szCs w:val="32"/>
        </w:rPr>
        <w:t>坚持用习近平新时代中国特色社会主义思想武装头脑、指导实践、推动工作，增强“四个意识”，坚定“四个自信”，做到“两个维护”，不断提升政治判断力、政治领悟力和政治执行力，在思想上、政治上、行动上同以习近平同志为核心的党中央保持高度一致。进一步完善局党组理论学习中心组“思想引领、学习在先”机制，组织党员干部深入学习党史、新中国史、改革开放史、社会主义发展史，做到学史明理、学史增信、学史崇德、学史力行，不断巩固深化“不忘初心、牢记使命”主题教育成果。</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2</w:t>
      </w:r>
      <w:r>
        <w:rPr>
          <w:rFonts w:hint="eastAsia" w:ascii="仿宋_GB2312" w:hAnsi="仿宋_GB2312" w:cs="仿宋_GB2312"/>
          <w:b/>
          <w:bCs/>
          <w:szCs w:val="32"/>
        </w:rPr>
        <w:t>.严格落实意识形态工作责任制。</w:t>
      </w:r>
      <w:r>
        <w:rPr>
          <w:rFonts w:hint="eastAsia" w:ascii="仿宋_GB2312" w:hAnsi="仿宋_GB2312" w:cs="仿宋_GB2312"/>
          <w:szCs w:val="32"/>
        </w:rPr>
        <w:t>强化抓好意识形态工作的履职自觉，强化全区文化系统意识形态工作定期报告和风险定期研判分析的工作机制，重点加强对文化活动、文艺创作、文化旅游体育市场等环节的监管，做好舆情引领和管控，确保文化旅游体育领域意识形态安全。</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3</w:t>
      </w:r>
      <w:r>
        <w:rPr>
          <w:rFonts w:hint="eastAsia" w:ascii="仿宋_GB2312" w:hAnsi="仿宋_GB2312" w:cs="仿宋_GB2312"/>
          <w:b/>
          <w:bCs/>
          <w:szCs w:val="32"/>
        </w:rPr>
        <w:t>.认真履行全面从严治党主体责任。</w:t>
      </w:r>
      <w:r>
        <w:rPr>
          <w:rFonts w:hint="eastAsia" w:ascii="仿宋_GB2312" w:hAnsi="仿宋_GB2312" w:cs="仿宋_GB2312"/>
          <w:szCs w:val="32"/>
        </w:rPr>
        <w:t>坚持以党的政治建设为统领，把做到“两个维护”、做好“三个表率”作为主要任务，坚持以上率下，进一步压实党建工作责任。加强对基层党支部的分类指导和督促检查，推动党支部工作标准化、规范化。进一步健全基层党支部党员日常管理等制度。</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4</w:t>
      </w:r>
      <w:r>
        <w:rPr>
          <w:rFonts w:hint="eastAsia" w:ascii="仿宋_GB2312" w:hAnsi="仿宋_GB2312" w:cs="仿宋_GB2312"/>
          <w:b/>
          <w:bCs/>
          <w:szCs w:val="32"/>
        </w:rPr>
        <w:t>.持之以恒正风肃纪。</w:t>
      </w:r>
      <w:r>
        <w:rPr>
          <w:rFonts w:hint="eastAsia" w:ascii="仿宋_GB2312" w:hAnsi="仿宋_GB2312" w:cs="仿宋_GB2312"/>
          <w:szCs w:val="32"/>
        </w:rPr>
        <w:t>深入落实党风廉政责任制。坚持</w:t>
      </w:r>
      <w:r>
        <w:rPr>
          <w:rFonts w:hint="eastAsia" w:ascii="仿宋_GB2312" w:hAnsi="仿宋_GB2312" w:cs="仿宋_GB2312"/>
          <w:szCs w:val="32"/>
          <w:lang w:eastAsia="zh-CN"/>
        </w:rPr>
        <w:t>严</w:t>
      </w:r>
      <w:r>
        <w:rPr>
          <w:rFonts w:hint="eastAsia" w:ascii="仿宋_GB2312" w:hAnsi="仿宋_GB2312" w:cs="仿宋_GB2312"/>
          <w:szCs w:val="32"/>
        </w:rPr>
        <w:t>的主基调不动摇，坚定不移纠正“四风”，大力开展</w:t>
      </w:r>
      <w:r>
        <w:rPr>
          <w:rFonts w:hint="eastAsia" w:ascii="仿宋_GB2312" w:hAnsi="仿宋_GB2312" w:cs="仿宋_GB2312"/>
          <w:szCs w:val="32"/>
          <w:lang w:eastAsia="zh-CN"/>
        </w:rPr>
        <w:t>庸</w:t>
      </w:r>
      <w:r>
        <w:rPr>
          <w:rFonts w:hint="eastAsia" w:ascii="仿宋_GB2312" w:hAnsi="仿宋_GB2312" w:cs="仿宋_GB2312"/>
          <w:szCs w:val="32"/>
        </w:rPr>
        <w:t>懒散慢乱浮六项治理，用钉钉子精神贯彻中央八项规定及其实施细则，推动“双评议”、履职尽责监督检查工作。全面排查廉政风险点，规范权力运行。积极参加“十进十建”和党风廉政建设宣教月活动，创作推广廉政建设文艺作品，开展纪律教育和警示教育。深化运用监督执纪“四种形态”，保持惩治腐败的高压态势。</w:t>
      </w:r>
    </w:p>
    <w:p>
      <w:pPr>
        <w:ind w:firstLine="630" w:firstLineChars="200"/>
        <w:rPr>
          <w:rFonts w:hint="eastAsia" w:ascii="黑体" w:hAnsi="黑体" w:eastAsia="黑体" w:cs="黑体"/>
          <w:szCs w:val="32"/>
        </w:rPr>
      </w:pPr>
      <w:r>
        <w:rPr>
          <w:rFonts w:hint="eastAsia" w:ascii="黑体" w:hAnsi="黑体" w:eastAsia="黑体" w:cs="黑体"/>
          <w:szCs w:val="32"/>
        </w:rPr>
        <w:t>二、着力服务大局，扎实推进各项重点工作</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5</w:t>
      </w:r>
      <w:r>
        <w:rPr>
          <w:rFonts w:hint="eastAsia" w:ascii="仿宋_GB2312" w:hAnsi="仿宋_GB2312" w:cs="仿宋_GB2312"/>
          <w:b/>
          <w:bCs/>
          <w:szCs w:val="32"/>
        </w:rPr>
        <w:t>.营造庆祝建党百年的浓厚氛围。</w:t>
      </w:r>
      <w:r>
        <w:rPr>
          <w:rFonts w:hint="eastAsia" w:ascii="仿宋_GB2312" w:hAnsi="仿宋_GB2312" w:cs="仿宋_GB2312"/>
          <w:szCs w:val="32"/>
        </w:rPr>
        <w:t>将庆祝建党</w:t>
      </w:r>
      <w:r>
        <w:rPr>
          <w:rFonts w:hint="eastAsia" w:ascii="Times New Roman" w:hAnsi="Times New Roman" w:cs="仿宋_GB2312"/>
          <w:sz w:val="32"/>
          <w:szCs w:val="32"/>
        </w:rPr>
        <w:t>100</w:t>
      </w:r>
      <w:r>
        <w:rPr>
          <w:rFonts w:hint="eastAsia" w:ascii="仿宋_GB2312" w:hAnsi="仿宋_GB2312" w:cs="仿宋_GB2312"/>
          <w:szCs w:val="32"/>
        </w:rPr>
        <w:t xml:space="preserve">周年作为贯穿全年工作的主线，牢牢把握“党的盛典、人民的节日”基调定位，精心策划举办“奋斗百年路 启航新征程”系列文艺演出。举办献礼建党百年“百部优秀影片社区展映”，办好“同升一面旗，同唱一首歌”主题快闪活动、“永恒的宣誓”音视频活动、“永远的丰碑”诗歌吟诵会等，全面展现百年大党的梦想与追求、情怀与担当，展现全区干部群众团结一心创造美好生活的精神风貌，凝聚立足新阶段、奋进新征程的强大力量。            </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6</w:t>
      </w:r>
      <w:r>
        <w:rPr>
          <w:rFonts w:hint="eastAsia" w:ascii="仿宋_GB2312" w:hAnsi="仿宋_GB2312" w:cs="仿宋_GB2312"/>
          <w:b/>
          <w:bCs/>
          <w:szCs w:val="32"/>
        </w:rPr>
        <w:t>.统筹疫情防控和产业发展。</w:t>
      </w:r>
      <w:r>
        <w:rPr>
          <w:rFonts w:hint="eastAsia" w:ascii="仿宋_GB2312" w:hAnsi="仿宋_GB2312" w:cs="仿宋_GB2312"/>
          <w:szCs w:val="32"/>
        </w:rPr>
        <w:t>坚持人物地同防，抓好图书馆、文化馆、星级酒店、旅行社、汉口里特色旅游街区、剧院、网吧、歌舞厅等文化和旅游领域疫情防控。推动助企纾困各项普惠性政策落实落地，加强对文化和旅游企业的政策指导和扶持，扎实做好“六稳”工作，全面落实“六保”任务，持续推进文化和旅游领域生产经营秩序全面恢复。</w:t>
      </w:r>
    </w:p>
    <w:p>
      <w:pPr>
        <w:ind w:firstLine="630" w:firstLineChars="200"/>
        <w:rPr>
          <w:rFonts w:hint="eastAsia" w:ascii="黑体" w:hAnsi="黑体" w:eastAsia="黑体" w:cs="黑体"/>
          <w:szCs w:val="32"/>
        </w:rPr>
      </w:pPr>
      <w:r>
        <w:rPr>
          <w:rFonts w:hint="eastAsia" w:ascii="黑体" w:hAnsi="黑体" w:eastAsia="黑体" w:cs="黑体"/>
          <w:szCs w:val="32"/>
        </w:rPr>
        <w:t>三、着力文化惠民，健全公共文化服务体系</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7</w:t>
      </w:r>
      <w:r>
        <w:rPr>
          <w:rFonts w:hint="eastAsia" w:ascii="仿宋_GB2312" w:hAnsi="仿宋_GB2312" w:cs="仿宋_GB2312"/>
          <w:b/>
          <w:bCs/>
          <w:szCs w:val="32"/>
        </w:rPr>
        <w:t>.提高公共文化服务效能。</w:t>
      </w:r>
      <w:r>
        <w:rPr>
          <w:rFonts w:hint="eastAsia" w:ascii="仿宋_GB2312" w:hAnsi="仿宋_GB2312" w:cs="仿宋_GB2312"/>
          <w:szCs w:val="32"/>
        </w:rPr>
        <w:t xml:space="preserve">巩固“四馆三场两中心”创建成果，大力推进 </w:t>
      </w:r>
      <w:r>
        <w:rPr>
          <w:rFonts w:hint="eastAsia" w:ascii="Times New Roman" w:hAnsi="Times New Roman" w:cs="仿宋_GB2312"/>
          <w:sz w:val="32"/>
          <w:szCs w:val="32"/>
        </w:rPr>
        <w:t>12</w:t>
      </w:r>
      <w:r>
        <w:rPr>
          <w:rFonts w:hint="eastAsia" w:ascii="仿宋_GB2312" w:hAnsi="仿宋_GB2312" w:cs="仿宋_GB2312"/>
          <w:szCs w:val="32"/>
        </w:rPr>
        <w:t xml:space="preserve"> 分钟文体圈建设。启动硚口区图书馆新馆建设，进一步加强街道（社区）综合文化服务中心管理，实施区级文化馆、图书馆总分馆建设提质增效，加强区、街道（社区）智慧图书馆和数字文化馆建设。继续办好“社区名家讲坛”，开展“硚图听书”、“百年党史周周讲”、“线上展览”系列活动，推广数字阅读。完善数字文化馆建设，优化“艺术慕课”等线上文化服务内容，进一步探索推广一站式、菜单式、直播式、互动式的文化供给模式，不断扩展公共文化服务覆盖人群，实现文化场馆志愿服务全覆盖。</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8</w:t>
      </w:r>
      <w:r>
        <w:rPr>
          <w:rFonts w:hint="eastAsia" w:ascii="仿宋_GB2312" w:hAnsi="仿宋_GB2312" w:cs="仿宋_GB2312"/>
          <w:b/>
          <w:bCs/>
          <w:szCs w:val="32"/>
        </w:rPr>
        <w:t>.擦亮文化艺术活动品牌。</w:t>
      </w:r>
      <w:r>
        <w:rPr>
          <w:rFonts w:hint="eastAsia" w:ascii="仿宋_GB2312" w:hAnsi="仿宋_GB2312" w:cs="仿宋_GB2312"/>
          <w:szCs w:val="32"/>
        </w:rPr>
        <w:t>围绕“百年华诞 壮丽航程”主题，策划开展系列群众文化演出、展览、讲座活动，营造良好氛围。持续丰富“星海合唱艺术节”、“汉江湾金秋文化艺术节”、“硚口茶韵”、汉口里民俗系列活动等传统品牌活动内涵，打造“硚口群众文化菜单”。</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9</w:t>
      </w:r>
      <w:r>
        <w:rPr>
          <w:rFonts w:hint="eastAsia" w:ascii="仿宋_GB2312" w:hAnsi="仿宋_GB2312" w:cs="仿宋_GB2312"/>
          <w:b/>
          <w:bCs/>
          <w:szCs w:val="32"/>
        </w:rPr>
        <w:t>.大力开展文化惠民活动。</w:t>
      </w:r>
      <w:r>
        <w:rPr>
          <w:rFonts w:hint="eastAsia" w:ascii="仿宋_GB2312" w:hAnsi="仿宋_GB2312" w:cs="仿宋_GB2312"/>
          <w:szCs w:val="32"/>
        </w:rPr>
        <w:t>全面落实公共文化场所免费开放，开展“红色文艺轻骑兵”、“我们的节日”、“武胜书香文化”全民阅读等群众喜闻乐见的文化活动，组织开展公益文化社区行</w:t>
      </w:r>
      <w:r>
        <w:rPr>
          <w:rFonts w:hint="eastAsia" w:ascii="Times New Roman" w:hAnsi="Times New Roman" w:cs="仿宋_GB2312"/>
          <w:sz w:val="32"/>
          <w:szCs w:val="32"/>
        </w:rPr>
        <w:t>70</w:t>
      </w:r>
      <w:r>
        <w:rPr>
          <w:rFonts w:hint="eastAsia" w:ascii="仿宋_GB2312" w:hAnsi="仿宋_GB2312" w:cs="仿宋_GB2312"/>
          <w:szCs w:val="32"/>
        </w:rPr>
        <w:t>场，丰富市民文化生活。组织开展公共文化培训，加强对群众文艺创作的引导，培育一批群众文艺团队和文艺骨干，形成“一街一品一特色”。发挥区辖新经济组织、新社会组织人才资源优势，组建硚口地区群众文艺工作者联盟。</w:t>
      </w:r>
    </w:p>
    <w:p>
      <w:pPr>
        <w:ind w:firstLine="630" w:firstLineChars="200"/>
        <w:rPr>
          <w:rFonts w:hint="eastAsia" w:ascii="黑体" w:hAnsi="黑体" w:eastAsia="黑体" w:cs="黑体"/>
          <w:szCs w:val="32"/>
        </w:rPr>
      </w:pPr>
      <w:r>
        <w:rPr>
          <w:rFonts w:hint="eastAsia" w:ascii="黑体" w:hAnsi="黑体" w:eastAsia="黑体" w:cs="黑体"/>
          <w:szCs w:val="32"/>
        </w:rPr>
        <w:t>四、着力保护传承，推动文化遗产活起来</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10</w:t>
      </w:r>
      <w:r>
        <w:rPr>
          <w:rFonts w:hint="eastAsia" w:ascii="仿宋_GB2312" w:hAnsi="仿宋_GB2312" w:cs="仿宋_GB2312"/>
          <w:b/>
          <w:bCs/>
          <w:szCs w:val="32"/>
        </w:rPr>
        <w:t>.加强文物保护利用。</w:t>
      </w:r>
      <w:r>
        <w:rPr>
          <w:rFonts w:hint="eastAsia" w:ascii="仿宋_GB2312" w:hAnsi="仿宋_GB2312" w:cs="仿宋_GB2312"/>
          <w:szCs w:val="32"/>
        </w:rPr>
        <w:t>始终把保护放在第一位，在保护中利用，在传承中发展。进一步推动文物资源与现代生活有机融合，努力让文物“活”起来。落实《硚口区文物火灾隐患整治和消防能力提升三年行动实施方案》。建立完善文物安全考核评估机制，建立健全文物保护联席</w:t>
      </w:r>
      <w:r>
        <w:rPr>
          <w:rFonts w:hint="eastAsia" w:ascii="仿宋_GB2312" w:hAnsi="仿宋_GB2312" w:cs="仿宋_GB2312"/>
          <w:szCs w:val="32"/>
          <w:lang w:eastAsia="zh-CN"/>
        </w:rPr>
        <w:t>会议</w:t>
      </w:r>
      <w:r>
        <w:rPr>
          <w:rFonts w:hint="eastAsia" w:ascii="仿宋_GB2312" w:hAnsi="仿宋_GB2312" w:cs="仿宋_GB2312"/>
          <w:szCs w:val="32"/>
        </w:rPr>
        <w:t>制度，定期分析研判和协调解决文物安全突出问题，守牢文物安全底线。加快推进汉正街淮盐巷、义勇消防联合会等文物修缮工作。</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11</w:t>
      </w:r>
      <w:r>
        <w:rPr>
          <w:rFonts w:hint="eastAsia" w:ascii="仿宋_GB2312" w:hAnsi="仿宋_GB2312" w:cs="仿宋_GB2312"/>
          <w:b/>
          <w:bCs/>
          <w:szCs w:val="32"/>
        </w:rPr>
        <w:t>.促进非遗传承发展。</w:t>
      </w:r>
      <w:r>
        <w:rPr>
          <w:rFonts w:hint="eastAsia" w:ascii="仿宋_GB2312" w:hAnsi="仿宋_GB2312" w:cs="仿宋_GB2312"/>
          <w:szCs w:val="32"/>
        </w:rPr>
        <w:t>要加强非遗代表性项目、传承人的认定和管理，推进非遗分类保护和区域</w:t>
      </w:r>
      <w:r>
        <w:rPr>
          <w:rFonts w:hint="eastAsia" w:ascii="仿宋_GB2312" w:hAnsi="仿宋_GB2312" w:cs="仿宋_GB2312"/>
          <w:szCs w:val="32"/>
          <w:shd w:val="clear"/>
        </w:rPr>
        <w:t>性整体保护。深入实</w:t>
      </w:r>
      <w:r>
        <w:rPr>
          <w:rFonts w:hint="eastAsia" w:ascii="仿宋_GB2312" w:hAnsi="仿宋_GB2312" w:cs="仿宋_GB2312"/>
          <w:szCs w:val="32"/>
        </w:rPr>
        <w:t>施传统工艺振兴计划、曲艺传承发展计划，让非遗保护传承更有活力。加大非遗传播普及力度，组织开展</w:t>
      </w:r>
      <w:r>
        <w:rPr>
          <w:rFonts w:hint="eastAsia" w:ascii="Times New Roman" w:hAnsi="Times New Roman" w:cs="仿宋_GB2312"/>
          <w:sz w:val="32"/>
          <w:szCs w:val="32"/>
        </w:rPr>
        <w:t>2021</w:t>
      </w:r>
      <w:r>
        <w:rPr>
          <w:rFonts w:hint="eastAsia" w:ascii="仿宋_GB2312" w:hAnsi="仿宋_GB2312" w:cs="仿宋_GB2312"/>
          <w:szCs w:val="32"/>
        </w:rPr>
        <w:t>年全国文化和自然遗产日系列活动，开展非遗“四进”活动，推动非遗集市、特色街区建设和“非遗在社区”试点工作，让非遗走进现代生活。</w:t>
      </w:r>
    </w:p>
    <w:p>
      <w:pPr>
        <w:ind w:firstLine="630" w:firstLineChars="200"/>
        <w:rPr>
          <w:rFonts w:hint="eastAsia" w:ascii="黑体" w:hAnsi="黑体" w:eastAsia="黑体" w:cs="黑体"/>
          <w:szCs w:val="32"/>
        </w:rPr>
      </w:pPr>
      <w:r>
        <w:rPr>
          <w:rFonts w:hint="eastAsia" w:ascii="黑体" w:hAnsi="黑体" w:eastAsia="黑体" w:cs="黑体"/>
          <w:szCs w:val="32"/>
        </w:rPr>
        <w:t>五、着力提质增效，推动产业高质量发展</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12</w:t>
      </w:r>
      <w:r>
        <w:rPr>
          <w:rFonts w:hint="eastAsia" w:ascii="仿宋_GB2312" w:hAnsi="仿宋_GB2312" w:cs="仿宋_GB2312"/>
          <w:b/>
          <w:bCs/>
          <w:szCs w:val="32"/>
        </w:rPr>
        <w:t>.深化旅游领域改革创新。</w:t>
      </w:r>
      <w:r>
        <w:rPr>
          <w:rFonts w:hint="eastAsia" w:ascii="仿宋_GB2312" w:hAnsi="仿宋_GB2312" w:cs="仿宋_GB2312"/>
          <w:szCs w:val="32"/>
        </w:rPr>
        <w:t>助推园博园创建国家</w:t>
      </w:r>
      <w:r>
        <w:rPr>
          <w:rFonts w:hint="eastAsia" w:ascii="Times New Roman" w:hAnsi="Times New Roman" w:cs="仿宋_GB2312"/>
          <w:sz w:val="32"/>
          <w:szCs w:val="32"/>
        </w:rPr>
        <w:t>4</w:t>
      </w:r>
      <w:r>
        <w:rPr>
          <w:rFonts w:hint="eastAsia" w:ascii="仿宋_GB2312" w:hAnsi="仿宋_GB2312" w:cs="仿宋_GB2312"/>
          <w:szCs w:val="32"/>
        </w:rPr>
        <w:t>A 级旅游景区，推进园博园汉口里智慧游，加大线上营销力度，优化游览线路和方式，加强黄金周、节假日高峰流量控制和疏导分流，拉动夜间经济、假日经济，全年吸引境内外游客</w:t>
      </w:r>
      <w:r>
        <w:rPr>
          <w:rFonts w:hint="eastAsia" w:ascii="Times New Roman" w:hAnsi="Times New Roman" w:cs="仿宋_GB2312"/>
          <w:sz w:val="32"/>
          <w:szCs w:val="32"/>
        </w:rPr>
        <w:t>300</w:t>
      </w:r>
      <w:r>
        <w:rPr>
          <w:rFonts w:hint="eastAsia" w:ascii="仿宋_GB2312" w:hAnsi="仿宋_GB2312" w:cs="仿宋_GB2312"/>
          <w:szCs w:val="32"/>
        </w:rPr>
        <w:t>万人次。巩固提升旅游厕所建设成果，加强旅游厕所信息化建设和规范化管理，完善旅游监管服务平台，提高行业管理信息化水平。充分挖掘汉正街五百年商根文化，策划启动兴建汉正街故事馆，讲述汉正街沧桑巨变、敢为人先的故事。实施“文化+”、“旅游+”战略，促进商旅文深度融合。</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13</w:t>
      </w:r>
      <w:r>
        <w:rPr>
          <w:rFonts w:hint="eastAsia" w:ascii="仿宋_GB2312" w:hAnsi="仿宋_GB2312" w:cs="仿宋_GB2312"/>
          <w:b/>
          <w:bCs/>
          <w:szCs w:val="32"/>
        </w:rPr>
        <w:t>.不断壮大文化旅游体育产业。</w:t>
      </w:r>
      <w:r>
        <w:rPr>
          <w:rFonts w:hint="eastAsia" w:ascii="仿宋_GB2312" w:hAnsi="仿宋_GB2312" w:cs="仿宋_GB2312"/>
          <w:szCs w:val="32"/>
        </w:rPr>
        <w:t>始终把招大商、抓项目作为文化旅游体育产业高质量发展的强力支撑，着力引进具有品牌影响和运营能力的大企业。努力打造精品文化和旅游项目，夯实文化和旅游产业发展基础，推动演艺、娱乐、动漫、创意设计等产业做大做强。</w:t>
      </w:r>
    </w:p>
    <w:p>
      <w:pPr>
        <w:ind w:firstLine="630" w:firstLineChars="200"/>
        <w:rPr>
          <w:rFonts w:hint="eastAsia" w:ascii="黑体" w:hAnsi="黑体" w:eastAsia="黑体" w:cs="黑体"/>
          <w:szCs w:val="32"/>
        </w:rPr>
      </w:pPr>
      <w:r>
        <w:rPr>
          <w:rFonts w:hint="eastAsia" w:ascii="黑体" w:hAnsi="黑体" w:eastAsia="黑体" w:cs="黑体"/>
          <w:szCs w:val="32"/>
        </w:rPr>
        <w:t>六、着力繁荣有序，加强文化市场监管</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14</w:t>
      </w:r>
      <w:r>
        <w:rPr>
          <w:rFonts w:hint="eastAsia" w:ascii="仿宋_GB2312" w:hAnsi="仿宋_GB2312" w:cs="仿宋_GB2312"/>
          <w:b/>
          <w:bCs/>
          <w:szCs w:val="32"/>
        </w:rPr>
        <w:t>.加强市场监管力度。</w:t>
      </w:r>
      <w:r>
        <w:rPr>
          <w:rFonts w:hint="eastAsia" w:ascii="仿宋_GB2312" w:hAnsi="仿宋_GB2312" w:cs="仿宋_GB2312"/>
          <w:szCs w:val="32"/>
        </w:rPr>
        <w:t>认真落实《武汉市旅游突发事件应急管理办法》。持续实施旅游服务质量提升计划和文明旅游行动计划，持续推动上网服务企业和文化娱乐行业转型升级。用好全国文化市场监管与服务平台和旅游监管服务平台，加强营业性演出市场现场监管，运用“双随机一公开”市场监管机制，探索构建以信用为基础的新型监管机制，对文化市场新业态实施包容审慎监管，完善投诉举报受理机制，积极配合推进文化市场综合行政执法改革。采取现场检查与网络巡查、专项执法与联合执法相结合等方式，切实保证检查高频次、高密度，有力维护文化市场秩序。</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15</w:t>
      </w:r>
      <w:r>
        <w:rPr>
          <w:rFonts w:hint="eastAsia" w:ascii="仿宋_GB2312" w:hAnsi="仿宋_GB2312" w:cs="仿宋_GB2312"/>
          <w:b/>
          <w:bCs/>
          <w:szCs w:val="32"/>
        </w:rPr>
        <w:t>.守牢行业安全底线。</w:t>
      </w:r>
      <w:r>
        <w:rPr>
          <w:rFonts w:hint="eastAsia" w:ascii="仿宋_GB2312" w:hAnsi="仿宋_GB2312" w:cs="仿宋_GB2312"/>
          <w:szCs w:val="32"/>
        </w:rPr>
        <w:t>助力平安硚口建设，完善全区文旅安全专委会组织体系，制定安全预案，建立安全风险防范长效机制，扎实做好国家意识形态安全、消防督导、食品安全、“扫黑除恶”、“扫黄打非”、校园周边整治工作，落实“市—区—街道”工作机制，探索网上监管、远程监管、数字监管等新模式，提高文化和旅游安全风险预警、预测和风险化解能力。</w:t>
      </w:r>
    </w:p>
    <w:p>
      <w:pPr>
        <w:ind w:firstLine="630" w:firstLineChars="200"/>
        <w:rPr>
          <w:rFonts w:hint="eastAsia" w:ascii="黑体" w:hAnsi="黑体" w:eastAsia="黑体" w:cs="黑体"/>
          <w:szCs w:val="32"/>
        </w:rPr>
      </w:pPr>
      <w:r>
        <w:rPr>
          <w:rFonts w:hint="eastAsia" w:ascii="黑体" w:hAnsi="黑体" w:eastAsia="黑体" w:cs="黑体"/>
          <w:szCs w:val="32"/>
        </w:rPr>
        <w:t>七、着力夯实基础，探索全民健身新模式</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16</w:t>
      </w:r>
      <w:r>
        <w:rPr>
          <w:rFonts w:hint="eastAsia" w:ascii="仿宋_GB2312" w:hAnsi="仿宋_GB2312" w:cs="仿宋_GB2312"/>
          <w:b/>
          <w:bCs/>
          <w:szCs w:val="32"/>
        </w:rPr>
        <w:t>.大力推进体育设施建设。</w:t>
      </w:r>
      <w:r>
        <w:rPr>
          <w:rFonts w:hint="eastAsia" w:ascii="仿宋_GB2312" w:hAnsi="仿宋_GB2312" w:cs="仿宋_GB2312"/>
          <w:szCs w:val="32"/>
        </w:rPr>
        <w:t>聚焦群众健身需求，加强部门协同，形成工作合力，启动“汉江湾体育中心”建设，实现游泳、健身、羽毛球、乒乓球、篮球、足球等运动项目的建设要求。继续推进汉江湾体育公园全面提档升级，探索提升体育场馆智慧化管理服务水平的新模式和新机制。加强全区全民健身场地设施等全民健身工作数据统计分析。</w:t>
      </w:r>
    </w:p>
    <w:p>
      <w:pPr>
        <w:ind w:firstLine="630" w:firstLineChars="200"/>
        <w:rPr>
          <w:rFonts w:hint="eastAsia" w:ascii="仿宋_GB2312" w:hAnsi="仿宋_GB2312" w:cs="仿宋_GB2312"/>
          <w:szCs w:val="32"/>
        </w:rPr>
      </w:pPr>
      <w:r>
        <w:rPr>
          <w:rFonts w:hint="eastAsia" w:ascii="Times New Roman" w:hAnsi="Times New Roman" w:cs="仿宋_GB2312"/>
          <w:b/>
          <w:bCs/>
          <w:sz w:val="32"/>
          <w:szCs w:val="32"/>
        </w:rPr>
        <w:t>17</w:t>
      </w:r>
      <w:r>
        <w:rPr>
          <w:rFonts w:hint="eastAsia" w:ascii="仿宋_GB2312" w:hAnsi="仿宋_GB2312" w:cs="仿宋_GB2312"/>
          <w:b/>
          <w:bCs/>
          <w:szCs w:val="32"/>
        </w:rPr>
        <w:t>.持续推广全民健身活动。</w:t>
      </w:r>
      <w:r>
        <w:rPr>
          <w:rFonts w:hint="eastAsia" w:ascii="仿宋_GB2312" w:hAnsi="仿宋_GB2312" w:cs="仿宋_GB2312"/>
          <w:szCs w:val="32"/>
        </w:rPr>
        <w:t>制定《硚口区全民健身计划</w:t>
      </w:r>
      <w:r>
        <w:rPr>
          <w:rFonts w:hint="eastAsia" w:ascii="Times New Roman" w:hAnsi="Times New Roman" w:cs="仿宋_GB2312"/>
          <w:sz w:val="32"/>
          <w:szCs w:val="32"/>
        </w:rPr>
        <w:t>2021</w:t>
      </w:r>
      <w:r>
        <w:rPr>
          <w:rFonts w:hint="eastAsia" w:ascii="仿宋_GB2312" w:hAnsi="仿宋_GB2312" w:cs="仿宋_GB2312"/>
          <w:szCs w:val="32"/>
        </w:rPr>
        <w:t>—</w:t>
      </w:r>
      <w:r>
        <w:rPr>
          <w:rFonts w:hint="eastAsia" w:ascii="Times New Roman" w:hAnsi="Times New Roman" w:cs="仿宋_GB2312"/>
          <w:sz w:val="32"/>
          <w:szCs w:val="32"/>
        </w:rPr>
        <w:t>2025</w:t>
      </w:r>
      <w:r>
        <w:rPr>
          <w:rFonts w:hint="eastAsia" w:ascii="仿宋_GB2312" w:hAnsi="仿宋_GB2312" w:cs="仿宋_GB2312"/>
          <w:szCs w:val="32"/>
        </w:rPr>
        <w:t>》。投入健身器材</w:t>
      </w:r>
      <w:r>
        <w:rPr>
          <w:rFonts w:hint="eastAsia" w:ascii="Times New Roman" w:hAnsi="Times New Roman" w:cs="仿宋_GB2312"/>
          <w:sz w:val="32"/>
          <w:szCs w:val="32"/>
        </w:rPr>
        <w:t>200</w:t>
      </w:r>
      <w:r>
        <w:rPr>
          <w:rFonts w:hint="eastAsia" w:ascii="仿宋_GB2312" w:hAnsi="仿宋_GB2312" w:cs="仿宋_GB2312"/>
          <w:szCs w:val="32"/>
        </w:rPr>
        <w:t>件，新建社区青少年体育活动中心</w:t>
      </w:r>
      <w:r>
        <w:rPr>
          <w:rFonts w:hint="eastAsia" w:ascii="Times New Roman" w:hAnsi="Times New Roman" w:cs="仿宋_GB2312"/>
          <w:sz w:val="32"/>
          <w:szCs w:val="32"/>
        </w:rPr>
        <w:t>2</w:t>
      </w:r>
      <w:r>
        <w:rPr>
          <w:rFonts w:hint="eastAsia" w:ascii="仿宋_GB2312" w:hAnsi="仿宋_GB2312" w:cs="仿宋_GB2312"/>
          <w:szCs w:val="32"/>
        </w:rPr>
        <w:t>个。充分发挥社会组织力量，运营管理好</w:t>
      </w:r>
      <w:r>
        <w:rPr>
          <w:rFonts w:hint="eastAsia" w:ascii="Times New Roman" w:hAnsi="Times New Roman" w:cs="仿宋_GB2312"/>
          <w:sz w:val="32"/>
          <w:szCs w:val="32"/>
        </w:rPr>
        <w:t>23</w:t>
      </w:r>
      <w:r>
        <w:rPr>
          <w:rFonts w:hint="eastAsia" w:ascii="仿宋_GB2312" w:hAnsi="仿宋_GB2312" w:cs="仿宋_GB2312"/>
          <w:szCs w:val="32"/>
        </w:rPr>
        <w:t>片社区足球场。承办</w:t>
      </w:r>
      <w:r>
        <w:rPr>
          <w:rFonts w:hint="eastAsia" w:ascii="Times New Roman" w:hAnsi="Times New Roman" w:cs="仿宋_GB2312"/>
          <w:sz w:val="32"/>
          <w:szCs w:val="32"/>
        </w:rPr>
        <w:t>2021</w:t>
      </w:r>
      <w:r>
        <w:rPr>
          <w:rFonts w:hint="eastAsia" w:ascii="仿宋_GB2312" w:hAnsi="仿宋_GB2312" w:cs="仿宋_GB2312"/>
          <w:szCs w:val="32"/>
        </w:rPr>
        <w:t>中国健身健美精英职业联赛（武汉站）及</w:t>
      </w:r>
      <w:r>
        <w:rPr>
          <w:rFonts w:hint="eastAsia" w:ascii="Times New Roman" w:hAnsi="Times New Roman" w:cs="仿宋_GB2312"/>
          <w:sz w:val="32"/>
          <w:szCs w:val="32"/>
        </w:rPr>
        <w:t>10</w:t>
      </w:r>
      <w:r>
        <w:rPr>
          <w:rFonts w:hint="eastAsia" w:ascii="仿宋_GB2312" w:hAnsi="仿宋_GB2312" w:cs="仿宋_GB2312"/>
          <w:szCs w:val="32"/>
        </w:rPr>
        <w:t>项省市级体育赛事。组织举办全区第九届全民健身运动会，开展好武术、健身排舞、广播操、门球等户外赛事活动。发挥世界冠军的品牌效应，继续办好“冠军回家”系列活动，促进全区体育事业和体育产业高质量发展。完成国民体质监测，全民健身活动状况调查，推行国家体育锻炼标准，增强全民健身活动的便利性、组织性和科学性。</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Times New Roman" w:hAnsi="Times New Roman" w:cs="仿宋_GB2312"/>
          <w:b/>
          <w:bCs/>
          <w:sz w:val="32"/>
          <w:szCs w:val="32"/>
        </w:rPr>
        <w:t>18</w:t>
      </w:r>
      <w:r>
        <w:rPr>
          <w:rFonts w:hint="eastAsia" w:ascii="仿宋_GB2312" w:hAnsi="仿宋_GB2312" w:cs="仿宋_GB2312"/>
          <w:b/>
          <w:bCs/>
          <w:szCs w:val="32"/>
        </w:rPr>
        <w:t>.提升青少年体育综合实力。</w:t>
      </w:r>
      <w:r>
        <w:rPr>
          <w:rFonts w:hint="eastAsia" w:ascii="仿宋_GB2312" w:hAnsi="仿宋_GB2312" w:cs="仿宋_GB2312"/>
          <w:szCs w:val="32"/>
        </w:rPr>
        <w:t>全面促进体教深度融合，建立健全青少年体育工作联席会制度，推动青少年文化学习和体育锻炼协调发展。持续推进足球、陈氏太极拳、游泳等项目进校园，继续办好足球、田径、射击、摔跤等体育传统特色学校。组队参加武汉市第十一届运动会青少年类和成年人类共</w:t>
      </w:r>
      <w:r>
        <w:rPr>
          <w:rFonts w:hint="eastAsia" w:ascii="Times New Roman" w:hAnsi="Times New Roman" w:cs="仿宋_GB2312"/>
          <w:sz w:val="32"/>
          <w:szCs w:val="32"/>
        </w:rPr>
        <w:t>42</w:t>
      </w:r>
      <w:r>
        <w:rPr>
          <w:rFonts w:hint="eastAsia" w:ascii="仿宋_GB2312" w:hAnsi="仿宋_GB2312" w:cs="仿宋_GB2312"/>
          <w:szCs w:val="32"/>
        </w:rPr>
        <w:t>个项目比赛，力争取得优异成绩。进一步强化青少年业余体校教练员、运动员队伍建设，积极培养输送优秀运动员进入省市专业队。</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945" w:firstLineChars="300"/>
        <w:jc w:val="right"/>
        <w:textAlignment w:val="auto"/>
        <w:outlineLvl w:val="9"/>
        <w:rPr>
          <w:rFonts w:hint="eastAsia" w:ascii="仿宋_GB2312" w:hAnsi="仿宋_GB2312" w:eastAsia="仿宋_GB2312" w:cs="仿宋_GB2312"/>
          <w:bCs/>
          <w:sz w:val="32"/>
          <w:szCs w:val="32"/>
        </w:rPr>
      </w:pPr>
    </w:p>
    <w:p>
      <w:pPr>
        <w:spacing w:line="560" w:lineRule="exact"/>
        <w:ind w:firstLine="630" w:firstLineChars="200"/>
        <w:jc w:val="right"/>
        <w:rPr>
          <w:rFonts w:hint="eastAsia" w:ascii="仿宋_GB2312" w:hAnsi="仿宋_GB2312" w:eastAsia="仿宋_GB2312" w:cs="仿宋_GB2312"/>
          <w:sz w:val="32"/>
          <w:szCs w:val="32"/>
          <w:lang w:val="en-US" w:eastAsia="zh-CN"/>
        </w:rPr>
      </w:pPr>
      <w:bookmarkStart w:id="0" w:name="_GoBack"/>
      <w:bookmarkEnd w:id="0"/>
    </w:p>
    <w:sectPr>
      <w:headerReference r:id="rId3" w:type="first"/>
      <w:footerReference r:id="rId6" w:type="first"/>
      <w:footerReference r:id="rId4" w:type="default"/>
      <w:footerReference r:id="rId5" w:type="even"/>
      <w:pgSz w:w="11877" w:h="16781" w:orient="landscape"/>
      <w:pgMar w:top="2098" w:right="1474" w:bottom="1984" w:left="1587" w:header="851" w:footer="1417" w:gutter="0"/>
      <w:cols w:space="0" w:num="1"/>
      <w:titlePg/>
      <w:rtlGutter w:val="0"/>
      <w:docGrid w:type="linesAndChars" w:linePitch="577" w:charSpace="-10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default" w:ascii="Times New Roman" w:hAnsi="Times New Roman" w:cs="Times New Roman" w:eastAsiaTheme="majorEastAsia"/>
                              <w:sz w:val="28"/>
                              <w:szCs w:val="28"/>
                              <w:lang w:eastAsia="zh-CN"/>
                            </w:rPr>
                            <w:fldChar w:fldCharType="begin"/>
                          </w:r>
                          <w:r>
                            <w:rPr>
                              <w:rFonts w:hint="default" w:ascii="Times New Roman" w:hAnsi="Times New Roman" w:cs="Times New Roman" w:eastAsiaTheme="majorEastAsia"/>
                              <w:sz w:val="28"/>
                              <w:szCs w:val="28"/>
                              <w:lang w:eastAsia="zh-CN"/>
                            </w:rPr>
                            <w:instrText xml:space="preserve"> PAGE  \* MERGEFORMAT </w:instrText>
                          </w:r>
                          <w:r>
                            <w:rPr>
                              <w:rFonts w:hint="default" w:ascii="Times New Roman" w:hAnsi="Times New Roman" w:cs="Times New Roman" w:eastAsiaTheme="majorEastAsia"/>
                              <w:sz w:val="28"/>
                              <w:szCs w:val="28"/>
                              <w:lang w:eastAsia="zh-CN"/>
                            </w:rPr>
                            <w:fldChar w:fldCharType="separate"/>
                          </w:r>
                          <w:r>
                            <w:t>1</w:t>
                          </w:r>
                          <w:r>
                            <w:rPr>
                              <w:rFonts w:hint="default" w:ascii="Times New Roman" w:hAnsi="Times New Roman" w:cs="Times New Roman" w:eastAsia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pt;height:144pt;width:144pt;mso-position-horizontal-relative:margin;mso-wrap-style:none;z-index:251659264;mso-width-relative:page;mso-height-relative:page;" filled="f" stroked="f" coordsize="21600,21600" o:gfxdata="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v1Np9UAAAAJ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default" w:ascii="Times New Roman" w:hAnsi="Times New Roman" w:cs="Times New Roman" w:eastAsiaTheme="majorEastAsia"/>
                        <w:sz w:val="28"/>
                        <w:szCs w:val="28"/>
                        <w:lang w:eastAsia="zh-CN"/>
                      </w:rPr>
                      <w:fldChar w:fldCharType="begin"/>
                    </w:r>
                    <w:r>
                      <w:rPr>
                        <w:rFonts w:hint="default" w:ascii="Times New Roman" w:hAnsi="Times New Roman" w:cs="Times New Roman" w:eastAsiaTheme="majorEastAsia"/>
                        <w:sz w:val="28"/>
                        <w:szCs w:val="28"/>
                        <w:lang w:eastAsia="zh-CN"/>
                      </w:rPr>
                      <w:instrText xml:space="preserve"> PAGE  \* MERGEFORMAT </w:instrText>
                    </w:r>
                    <w:r>
                      <w:rPr>
                        <w:rFonts w:hint="default" w:ascii="Times New Roman" w:hAnsi="Times New Roman" w:cs="Times New Roman" w:eastAsiaTheme="majorEastAsia"/>
                        <w:sz w:val="28"/>
                        <w:szCs w:val="28"/>
                        <w:lang w:eastAsia="zh-CN"/>
                      </w:rPr>
                      <w:fldChar w:fldCharType="separate"/>
                    </w:r>
                    <w:r>
                      <w:t>1</w:t>
                    </w:r>
                    <w:r>
                      <w:rPr>
                        <w:rFonts w:hint="default" w:ascii="Times New Roman" w:hAnsi="Times New Roman" w:cs="Times New Roman" w:eastAsia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p>
                    <w:pPr>
                      <w:pStyle w:val="3"/>
                      <w:rPr>
                        <w:rFonts w:hint="eastAsia" w:eastAsiaTheme="minor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bookFoldPrinting w:val="1"/>
  <w:bookFoldPrintingSheets w:val="0"/>
  <w:drawingGridHorizontalSpacing w:val="157"/>
  <w:drawingGridVerticalSpacing w:val="28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D2C48"/>
    <w:rsid w:val="016523CD"/>
    <w:rsid w:val="021B0D6A"/>
    <w:rsid w:val="030257AE"/>
    <w:rsid w:val="03915B27"/>
    <w:rsid w:val="09322FDF"/>
    <w:rsid w:val="095C6867"/>
    <w:rsid w:val="0A514815"/>
    <w:rsid w:val="0BFF0EE5"/>
    <w:rsid w:val="0D1522ED"/>
    <w:rsid w:val="0ED706ED"/>
    <w:rsid w:val="0F730ED2"/>
    <w:rsid w:val="0F794F44"/>
    <w:rsid w:val="0F79733A"/>
    <w:rsid w:val="10303400"/>
    <w:rsid w:val="11AE7671"/>
    <w:rsid w:val="12E56737"/>
    <w:rsid w:val="172E32B3"/>
    <w:rsid w:val="18004575"/>
    <w:rsid w:val="18621F4E"/>
    <w:rsid w:val="1AEC69E1"/>
    <w:rsid w:val="1B3A32D0"/>
    <w:rsid w:val="1DDE447D"/>
    <w:rsid w:val="1E705F2A"/>
    <w:rsid w:val="1F4C6C00"/>
    <w:rsid w:val="232565CE"/>
    <w:rsid w:val="25DD6DCC"/>
    <w:rsid w:val="2658043E"/>
    <w:rsid w:val="280D52A3"/>
    <w:rsid w:val="286B6A90"/>
    <w:rsid w:val="2A932085"/>
    <w:rsid w:val="2DE86267"/>
    <w:rsid w:val="2F1C4869"/>
    <w:rsid w:val="2F944AC0"/>
    <w:rsid w:val="300D3CD3"/>
    <w:rsid w:val="303A6874"/>
    <w:rsid w:val="307D2F3E"/>
    <w:rsid w:val="32716F50"/>
    <w:rsid w:val="32EE2C13"/>
    <w:rsid w:val="346F05B5"/>
    <w:rsid w:val="347F234D"/>
    <w:rsid w:val="360F6ADF"/>
    <w:rsid w:val="361047B2"/>
    <w:rsid w:val="36472F15"/>
    <w:rsid w:val="36A20B68"/>
    <w:rsid w:val="373D332B"/>
    <w:rsid w:val="37575508"/>
    <w:rsid w:val="38932559"/>
    <w:rsid w:val="39E41B43"/>
    <w:rsid w:val="3A5F5B5A"/>
    <w:rsid w:val="3AFE31A2"/>
    <w:rsid w:val="3D5970BE"/>
    <w:rsid w:val="40B85803"/>
    <w:rsid w:val="43A9352D"/>
    <w:rsid w:val="44E253B2"/>
    <w:rsid w:val="45E20EF0"/>
    <w:rsid w:val="480253C8"/>
    <w:rsid w:val="4B272E72"/>
    <w:rsid w:val="4B523001"/>
    <w:rsid w:val="4E1B601F"/>
    <w:rsid w:val="4E4056A1"/>
    <w:rsid w:val="4E4D0DDF"/>
    <w:rsid w:val="4E561489"/>
    <w:rsid w:val="4F1C56A7"/>
    <w:rsid w:val="4F8323D7"/>
    <w:rsid w:val="4FDC55A7"/>
    <w:rsid w:val="508C2DE0"/>
    <w:rsid w:val="50DB15D3"/>
    <w:rsid w:val="525B5DD1"/>
    <w:rsid w:val="52F045C4"/>
    <w:rsid w:val="540D2C48"/>
    <w:rsid w:val="569452B5"/>
    <w:rsid w:val="572E02A6"/>
    <w:rsid w:val="57B61E48"/>
    <w:rsid w:val="5B7324BC"/>
    <w:rsid w:val="5C790385"/>
    <w:rsid w:val="5FAD55D4"/>
    <w:rsid w:val="5FED716D"/>
    <w:rsid w:val="623C6556"/>
    <w:rsid w:val="65233687"/>
    <w:rsid w:val="670A3A91"/>
    <w:rsid w:val="672A5A4E"/>
    <w:rsid w:val="6A5E07D6"/>
    <w:rsid w:val="6ABE45B7"/>
    <w:rsid w:val="6D6939BA"/>
    <w:rsid w:val="6DBA3A4B"/>
    <w:rsid w:val="6DD31401"/>
    <w:rsid w:val="6E280B2A"/>
    <w:rsid w:val="6F6C7092"/>
    <w:rsid w:val="70E64F09"/>
    <w:rsid w:val="72EE39A9"/>
    <w:rsid w:val="74882DA0"/>
    <w:rsid w:val="74C60CB2"/>
    <w:rsid w:val="751F4F2E"/>
    <w:rsid w:val="7636231B"/>
    <w:rsid w:val="79796E33"/>
    <w:rsid w:val="7FEB59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数字"/>
    <w:basedOn w:val="1"/>
    <w:qFormat/>
    <w:uiPriority w:val="0"/>
    <w:pPr>
      <w:jc w:val="left"/>
    </w:pPr>
    <w:rPr>
      <w:rFonts w:ascii="Times New Roman" w:hAnsi="Times New Roman" w:eastAsia="宋体"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3363</Words>
  <Characters>3409</Characters>
  <Lines>0</Lines>
  <Paragraphs>0</Paragraphs>
  <TotalTime>1</TotalTime>
  <ScaleCrop>false</ScaleCrop>
  <LinksUpToDate>false</LinksUpToDate>
  <CharactersWithSpaces>3432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2021-03-09T01:49:00Z</dcterms:created>
  <dc:creator>Administrator</dc:creator>
  <cp:lastModifiedBy>有凤</cp:lastModifiedBy>
  <cp:lastPrinted>2021-03-23T07:46:00Z</cp:lastPrinted>
  <dcterms:modified xsi:type="dcterms:W3CDTF">2021-09-18T04:46:35Z</dcterms:modified>
  <dc:title>硚口区文化和旅游工作汇报提纲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30495888_cloud</vt:lpwstr>
  </property>
  <property fmtid="{D5CDD505-2E9C-101B-9397-08002B2CF9AE}" pid="4" name="ICV">
    <vt:lpwstr>D51EF1F3BF3D4ABAA2224E6614165C5E</vt:lpwstr>
  </property>
</Properties>
</file>