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商务局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bookmarkEnd w:id="0"/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YjFkZDc5MmUwZDIwN2VkZjE5NTliMzJjNDc2Y2IifQ=="/>
  </w:docVars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69535A1"/>
    <w:rsid w:val="3788292E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1</Pages>
  <Words>361</Words>
  <Characters>362</Characters>
  <Lines>20</Lines>
  <Paragraphs>5</Paragraphs>
  <TotalTime>66</TotalTime>
  <ScaleCrop>false</ScaleCrop>
  <LinksUpToDate>false</LinksUpToDate>
  <CharactersWithSpaces>393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山西第四批援鄂医疗队</cp:lastModifiedBy>
  <cp:lastPrinted>2022-09-03T00:50:00Z</cp:lastPrinted>
  <dcterms:modified xsi:type="dcterms:W3CDTF">2022-09-07T08:04:30Z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195E8D033B994A44B3EB00286D5AF53E</vt:lpwstr>
  </property>
</Properties>
</file>