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45F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  <w:t>市人社局硚口社保处2025年政府信息</w:t>
      </w:r>
    </w:p>
    <w:p w14:paraId="5BBA91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  <w:t>公开工作年度报告</w:t>
      </w:r>
    </w:p>
    <w:p w14:paraId="5316C10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b w:val="0"/>
          <w:bCs w:val="0"/>
          <w:color w:val="auto"/>
          <w:sz w:val="32"/>
          <w:szCs w:val="32"/>
        </w:rPr>
      </w:pPr>
    </w:p>
    <w:p w14:paraId="35F4997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依据《中华人民共和国政府信息公开条例》（以下简称《政府信息公开条例》）第五十条和《关于印发中华人民共和国政府信息公开工作年度报告格式的通知》（国办公开办函〔2021〕30号）规定，编制本报告。本年度报告全文包括：总体情况、主动公开政府信息情况、收到和处理政府信息公开申请情况、政府信息公开行政复议、行政诉讼情况、存在的主要问题及改进情况、其他需要报告的事项。所列统计数据时间范围为202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年1月1日至202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年12月31日。如本报告有疑问，请联系：武汉市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人力资源和社会保障局硚口社会保险管理处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，地址：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硚口区沿河大道466号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，电话：027-83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887520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t>。</w:t>
      </w:r>
    </w:p>
    <w:p w14:paraId="02402D4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z w:val="32"/>
          <w:szCs w:val="32"/>
        </w:rPr>
        <w:t>一、总体情况</w:t>
      </w:r>
    </w:p>
    <w:p w14:paraId="302975A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2025年我处坚持以习近平新时代中国特色社会主义思想为指导，全面贯彻党的二十大和二十届历次全会精神，严格落实《中华人民共和国政府信息公开条例》及省、市、区政务公开工作部署，秉持 “以公开为常态、不公开为例外” 原则，聚焦社保核心职能，深化公开内容、创新公开形式、提升公开质效，以高质量政务公开推动社保事业高质量发展，切实保障群众的知情权、参与权、表达权和监督权。</w:t>
      </w:r>
    </w:p>
    <w:p w14:paraId="79795B4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z w:val="32"/>
          <w:szCs w:val="32"/>
        </w:rPr>
        <w:t>二、主动公开政府信息情况</w:t>
      </w:r>
    </w:p>
    <w:p w14:paraId="6AEA9D8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硚口社保处依法依规主动公开民生服务、部门动态、单位信息、职能介绍等方面的信息，2025年无向社会公开政府信息。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9"/>
        <w:gridCol w:w="2240"/>
        <w:gridCol w:w="2240"/>
        <w:gridCol w:w="2240"/>
      </w:tblGrid>
      <w:tr w14:paraId="0373F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7C4AC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7E3FF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9976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DAC5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74D3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2285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19767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35CD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713B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0F66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4D2E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3F4F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A532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383A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1AA6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84CC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81E8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4AE85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07A03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556B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749C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13E37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2671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76D1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EE0E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0A475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7A12E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2AFD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8E9D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67DC0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994B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B47D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900A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62E3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CD13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8DE6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BF0A8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51B99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B465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3E2E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78FE5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0C36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526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467164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/>
        </w:rPr>
      </w:pPr>
    </w:p>
    <w:p w14:paraId="3E535D7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b w:val="0"/>
          <w:bCs w:val="0"/>
          <w:color w:val="333333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333333"/>
          <w:sz w:val="32"/>
          <w:szCs w:val="32"/>
        </w:rPr>
        <w:t>三、收到和处理政府信息公开申请情况</w:t>
      </w:r>
    </w:p>
    <w:p w14:paraId="652A1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20</w:t>
      </w:r>
      <w:r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25</w:t>
      </w:r>
      <w:r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年</w:t>
      </w:r>
      <w:r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市人社局硚口社保处</w:t>
      </w:r>
      <w:r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未收到和处理政府信息公开申请。</w:t>
      </w:r>
    </w:p>
    <w:tbl>
      <w:tblPr>
        <w:tblStyle w:val="4"/>
        <w:tblW w:w="4855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68"/>
        <w:gridCol w:w="821"/>
        <w:gridCol w:w="2945"/>
        <w:gridCol w:w="612"/>
        <w:gridCol w:w="612"/>
        <w:gridCol w:w="612"/>
        <w:gridCol w:w="612"/>
        <w:gridCol w:w="614"/>
        <w:gridCol w:w="629"/>
        <w:gridCol w:w="624"/>
      </w:tblGrid>
      <w:tr w14:paraId="6FB039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4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B608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5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1FAD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1D53AF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4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11A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6D77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60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5827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4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2D523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0508C3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4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46C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489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FCA8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0C05A8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E899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480834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AB95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1868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6698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4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4E0B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宋体"/>
                <w:color w:val="333333"/>
                <w:sz w:val="21"/>
                <w:szCs w:val="21"/>
              </w:rPr>
            </w:pPr>
          </w:p>
        </w:tc>
      </w:tr>
      <w:tr w14:paraId="33736B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4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CEDE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4E05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4559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9135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7ED7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703E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083F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2DCF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B80F4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4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5E0F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EC0F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AE32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CC2F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51C0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2C32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DE82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F2D3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F0A24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ACD39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1587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3078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DDC1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C490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7387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EE50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6C7B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250B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BB3D3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B263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6BE2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D613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FF3D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B0EB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F3AA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3F41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234C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2A23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BC942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42F9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87D63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FA7A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D93D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486A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64D5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CDC3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A8FD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594F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96C9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D180B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0D78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2EA5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AC522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9CD5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335A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C4A1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A712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0263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7C42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6130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15278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A910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A425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C7A70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C0C1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058D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61DC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AD31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9A86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C2FD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F5D4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3BE6E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7BA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6F9C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5E983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BE1A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BD56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3A55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8F31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6E7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2170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DF1B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33AE4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2486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9EAE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12D2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6A10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225D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3FB1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7AAC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F02F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AD9E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CBE1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717C2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021F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7E7C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F4AFE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B083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161D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DD8C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53D8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113B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8633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C34A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B7E92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CC1B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49AA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14CA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0FB6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E056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356D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5596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3E18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0B05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5605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30EB9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C0D5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3BF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1932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E360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70AD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DCCF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71CF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EC71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0947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D01B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2F2F5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27EB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7A4EB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DB375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5C6C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1D9E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B578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0C25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0AFC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04ED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58F7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B546C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703D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C8B5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7708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CB53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0CE8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CF5B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83AC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1F43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C2C9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96B6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8C33C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9E32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742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12B4C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43AE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46A5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FC35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0B82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0CC1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1C82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9D47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08AE2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36C4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BB61C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6339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B16A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6C4E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F425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4C3A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0F6F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F2D6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0810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03CFA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B7B5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A42D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C8944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3EE8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A97E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A7F9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A048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D2A8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6A88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AB84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89784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5AE4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F9A2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B46EA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F403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3E4D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D4FE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B43A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3278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F953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6479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D3C0E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9484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4A0B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335A7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AB11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08D4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BB83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4980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7B3B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BE31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919D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BCF57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5AA8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102C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8D251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33235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FAB54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CC2EF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0D945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965A6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9D16E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17B3A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4CCD8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4089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20026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60A9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2453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B148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9BC5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C280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3C15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2BC7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4A8E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F4DF3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B677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02BD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BFAD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C780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5632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70AA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EDE5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0DD3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9ECC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C7B1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DABF2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7E8B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FA2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FF0B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8D46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D023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3163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9B9A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97B2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44CF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919D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2459D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2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73E1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53FF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0EC6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872E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FA4E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332B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2E6C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2A5C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B009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C0B14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4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47C1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3E6C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D761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B253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2ED7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00FF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2E7B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E8B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3FCC9D0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Times New Roman" w:hAnsi="Times New Roman" w:eastAsia="宋体" w:cs="宋体"/>
          <w:color w:val="333333"/>
          <w:sz w:val="24"/>
          <w:szCs w:val="24"/>
        </w:rPr>
      </w:pPr>
    </w:p>
    <w:p w14:paraId="27E9039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b w:val="0"/>
          <w:bCs w:val="0"/>
          <w:color w:val="333333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 w14:paraId="5568FEC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2025年市人社局硚口社保处无因政府信息公开工作被申请行政复议、提起行政诉讼情况。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00"/>
        <w:gridCol w:w="600"/>
        <w:gridCol w:w="600"/>
        <w:gridCol w:w="614"/>
        <w:gridCol w:w="602"/>
        <w:gridCol w:w="602"/>
        <w:gridCol w:w="603"/>
        <w:gridCol w:w="603"/>
        <w:gridCol w:w="611"/>
        <w:gridCol w:w="603"/>
        <w:gridCol w:w="603"/>
        <w:gridCol w:w="603"/>
        <w:gridCol w:w="603"/>
        <w:gridCol w:w="611"/>
      </w:tblGrid>
      <w:tr w14:paraId="11EC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087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319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5E8CA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B44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655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638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589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367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F7D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11F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25E5F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03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DB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96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DD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D3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3F1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294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E16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377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B78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767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03E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6EC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3CD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659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091F8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854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ajorEastAsia" w:cstheme="majorEastAsia"/>
              </w:rPr>
            </w:pPr>
            <w:r>
              <w:rPr>
                <w:rFonts w:hint="eastAsia" w:ascii="Times New Roman" w:hAnsi="Times New Roman" w:eastAsiaTheme="majorEastAsia" w:cstheme="maj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763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lang w:val="en-US"/>
              </w:rPr>
            </w:pPr>
            <w:r>
              <w:rPr>
                <w:rFonts w:hint="eastAsia" w:ascii="Times New Roman" w:hAnsi="Times New Roman" w:eastAsiaTheme="majorEastAsia" w:cstheme="maj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04B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lang w:val="en-US"/>
              </w:rPr>
            </w:pPr>
            <w:r>
              <w:rPr>
                <w:rFonts w:hint="eastAsia" w:ascii="Times New Roman" w:hAnsi="Times New Roman" w:eastAsiaTheme="majorEastAsia" w:cstheme="maj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FE2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ajorEastAsia" w:cstheme="majorEastAsia"/>
              </w:rPr>
            </w:pPr>
            <w:r>
              <w:rPr>
                <w:rFonts w:hint="eastAsia" w:ascii="Times New Roman" w:hAnsi="Times New Roman" w:eastAsiaTheme="majorEastAsia" w:cstheme="maj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785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ajorEastAsia" w:cstheme="majorEastAsia"/>
              </w:rPr>
            </w:pPr>
            <w:r>
              <w:rPr>
                <w:rFonts w:hint="eastAsia" w:ascii="Times New Roman" w:hAnsi="Times New Roman" w:eastAsiaTheme="majorEastAsia" w:cstheme="maj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115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ajorEastAsia" w:cstheme="majorEastAsia"/>
              </w:rPr>
            </w:pPr>
            <w:r>
              <w:rPr>
                <w:rFonts w:hint="eastAsia" w:ascii="Times New Roman" w:hAnsi="Times New Roman" w:eastAsiaTheme="majorEastAsia" w:cstheme="maj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245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ajorEastAsia" w:cstheme="majorEastAsia"/>
              </w:rPr>
            </w:pPr>
            <w:r>
              <w:rPr>
                <w:rFonts w:hint="eastAsia" w:ascii="Times New Roman" w:hAnsi="Times New Roman" w:eastAsiaTheme="majorEastAsia" w:cstheme="maj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5FA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lang w:val="en-US"/>
              </w:rPr>
            </w:pPr>
            <w:r>
              <w:rPr>
                <w:rFonts w:hint="eastAsia" w:ascii="Times New Roman" w:hAnsi="Times New Roman" w:eastAsiaTheme="majorEastAsia" w:cstheme="maj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D38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ajorEastAsia" w:cstheme="majorEastAsia"/>
              </w:rPr>
            </w:pPr>
            <w:r>
              <w:rPr>
                <w:rFonts w:hint="eastAsia" w:ascii="Times New Roman" w:hAnsi="Times New Roman" w:eastAsiaTheme="majorEastAsia" w:cstheme="maj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044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lang w:val="en-US"/>
              </w:rPr>
            </w:pPr>
            <w:r>
              <w:rPr>
                <w:rFonts w:hint="eastAsia" w:ascii="Times New Roman" w:hAnsi="Times New Roman" w:eastAsiaTheme="majorEastAsia" w:cstheme="maj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A64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lang w:val="en-US"/>
              </w:rPr>
            </w:pPr>
            <w:r>
              <w:rPr>
                <w:rFonts w:hint="eastAsia" w:ascii="Times New Roman" w:hAnsi="Times New Roman" w:eastAsiaTheme="majorEastAsia" w:cstheme="maj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D06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ajorEastAsia" w:cstheme="majorEastAsia"/>
              </w:rPr>
            </w:pPr>
            <w:r>
              <w:rPr>
                <w:rFonts w:hint="eastAsia" w:ascii="Times New Roman" w:hAnsi="Times New Roman" w:eastAsiaTheme="majorEastAsia" w:cstheme="maj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EBC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lang w:val="en-US"/>
              </w:rPr>
            </w:pPr>
            <w:r>
              <w:rPr>
                <w:rFonts w:hint="eastAsia" w:ascii="Times New Roman" w:hAnsi="Times New Roman" w:eastAsiaTheme="majorEastAsia" w:cstheme="maj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BE5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Theme="majorEastAsia" w:cstheme="majorEastAsia"/>
              </w:rPr>
            </w:pPr>
            <w:r>
              <w:rPr>
                <w:rFonts w:hint="eastAsia" w:ascii="Times New Roman" w:hAnsi="Times New Roman" w:eastAsiaTheme="majorEastAsia" w:cstheme="majorEastAsia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C6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340F58F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b w:val="0"/>
          <w:bCs w:val="0"/>
          <w:color w:val="333333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333333"/>
          <w:sz w:val="32"/>
          <w:szCs w:val="32"/>
        </w:rPr>
        <w:t>五、存在的主要问题及改进情况</w:t>
      </w:r>
    </w:p>
    <w:p w14:paraId="7D203E6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政府信息公开工作存在的问题</w:t>
      </w:r>
    </w:p>
    <w:p w14:paraId="018942D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一是信息公开部分栏目更新存在不及时的情况；二是政府信息依申请服务标准化规范化水平还需进一步提高。</w:t>
      </w:r>
    </w:p>
    <w:p w14:paraId="50EB92C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（二）改进情况</w:t>
      </w:r>
    </w:p>
    <w:p w14:paraId="7E4EF5E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是对相关信息公开工作人员开展业务培训，对照政务公开规范性清单，建立定期开展信息公开检查督促机制，确保按照要求及时更新各栏目信息；二是加大培训力度，提升工作服务水平。进一步深入学习政府信息公开有关文件精神，统一思想，提高认识；进一步提高政府信息公开工作人员业务技能，保障政府信息依法公开，依申请公开得到妥善处理，充分发挥政府信息对人民群众的服务作用。</w:t>
      </w:r>
    </w:p>
    <w:p w14:paraId="75EE76F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b w:val="0"/>
          <w:bCs w:val="0"/>
          <w:color w:val="333333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333333"/>
          <w:sz w:val="32"/>
          <w:szCs w:val="32"/>
        </w:rPr>
        <w:t>六、其他需要报告的事项</w:t>
      </w:r>
    </w:p>
    <w:p w14:paraId="48963D3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2025年办理人大提案1件，政协建议案1件，均按期办理回复；无其他需要报告的事项。</w:t>
      </w:r>
    </w:p>
    <w:p w14:paraId="0B9057C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</w:p>
    <w:p w14:paraId="1F9C4F2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20F9FEF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5EC0FE7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市人力资源和社会保障局硚口社会保险管理处</w:t>
      </w:r>
    </w:p>
    <w:p w14:paraId="6F9ADA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480" w:firstLineChars="1400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2026年1月5日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D5C8B16-36F9-4505-9BE1-E0DD6CDB8E7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E6358CA-0A36-4B10-9684-68F1070DE53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117C5DC-C548-4716-BE83-052CA00D3E7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6D5E4ED-D8D3-4D5E-BEC3-B8680CD06A0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C82148C-CD1F-4A97-9204-C9A2981BD75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3ED739"/>
    <w:multiLevelType w:val="singleLevel"/>
    <w:tmpl w:val="7A3ED73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hY2ViNWJlMGY3ODFlZGZlZDhlMDg5Y2M4NTY1NDAifQ=="/>
  </w:docVars>
  <w:rsids>
    <w:rsidRoot w:val="238B1E27"/>
    <w:rsid w:val="12F4037D"/>
    <w:rsid w:val="173F730A"/>
    <w:rsid w:val="19771C9E"/>
    <w:rsid w:val="1A3049A7"/>
    <w:rsid w:val="238B1E27"/>
    <w:rsid w:val="246E2621"/>
    <w:rsid w:val="25AE451C"/>
    <w:rsid w:val="2AC74991"/>
    <w:rsid w:val="380214FF"/>
    <w:rsid w:val="397119C0"/>
    <w:rsid w:val="4A332606"/>
    <w:rsid w:val="52C378C2"/>
    <w:rsid w:val="52CB49C9"/>
    <w:rsid w:val="53F74EC8"/>
    <w:rsid w:val="565407E9"/>
    <w:rsid w:val="618218C3"/>
    <w:rsid w:val="687E00BB"/>
    <w:rsid w:val="6A505A87"/>
    <w:rsid w:val="6A5F16F4"/>
    <w:rsid w:val="6B743FCD"/>
    <w:rsid w:val="6D9F6F42"/>
    <w:rsid w:val="70666767"/>
    <w:rsid w:val="7993773F"/>
    <w:rsid w:val="79FB1236"/>
    <w:rsid w:val="7DEE0806"/>
    <w:rsid w:val="7E7F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1158</Words>
  <Characters>1192</Characters>
  <Lines>0</Lines>
  <Paragraphs>0</Paragraphs>
  <TotalTime>53</TotalTime>
  <ScaleCrop>false</ScaleCrop>
  <LinksUpToDate>false</LinksUpToDate>
  <CharactersWithSpaces>1194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2021-12-21T23:19:00Z</dcterms:created>
  <dc:creator>WPS_1624785580</dc:creator>
  <cp:lastModifiedBy>小娟</cp:lastModifiedBy>
  <cp:lastPrinted>2026-01-22T01:14:23Z</cp:lastPrinted>
  <dcterms:modified xsi:type="dcterms:W3CDTF">2026-01-22T01:19:22Z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9B906F7BACD44DE18525A114B4AB9025_13</vt:lpwstr>
  </property>
  <property fmtid="{D5CDD505-2E9C-101B-9397-08002B2CF9AE}" pid="4" name="KSOTemplateDocerSaveRecord">
    <vt:lpwstr>eyJoZGlkIjoiMzMyMWIzMzkwOTZjZjBhYWM2OTc2MzNkM2I0ZGEwYTYiLCJ1c2VySWQiOiI1NDEzNjEzMjEifQ==</vt:lpwstr>
  </property>
</Properties>
</file>