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 w:cs="方正小标宋简体"/>
          <w:sz w:val="36"/>
          <w:szCs w:val="36"/>
          <w:lang w:val="en-US" w:eastAsia="zh-CN"/>
        </w:rPr>
        <w:t>2024</w:t>
      </w:r>
      <w:r>
        <w:rPr>
          <w:rFonts w:hint="eastAsia" w:ascii="方正小标宋简体" w:hAnsi="宋体" w:eastAsia="方正小标宋简体" w:cs="方正小标宋简体"/>
          <w:sz w:val="36"/>
          <w:szCs w:val="36"/>
        </w:rPr>
        <w:t>年度基层</w:t>
      </w:r>
      <w:r>
        <w:rPr>
          <w:rFonts w:hint="eastAsia" w:ascii="方正小标宋简体" w:hAnsi="宋体" w:eastAsia="方正小标宋简体" w:cs="方正小标宋简体"/>
          <w:sz w:val="36"/>
          <w:szCs w:val="36"/>
          <w:lang w:eastAsia="zh-CN"/>
        </w:rPr>
        <w:t>公共安全事</w:t>
      </w:r>
      <w:r>
        <w:rPr>
          <w:rFonts w:hint="eastAsia" w:ascii="方正小标宋简体" w:hAnsi="宋体" w:eastAsia="方正小标宋简体" w:cs="方正小标宋简体"/>
          <w:sz w:val="36"/>
          <w:szCs w:val="36"/>
        </w:rPr>
        <w:t>务经费项目自评表</w:t>
      </w:r>
    </w:p>
    <w:p>
      <w:pPr>
        <w:widowControl/>
        <w:jc w:val="left"/>
        <w:rPr>
          <w:rFonts w:hint="default" w:ascii="楷体_GB2312" w:hAnsi="黑体" w:eastAsia="楷体_GB2312"/>
          <w:kern w:val="0"/>
          <w:sz w:val="21"/>
          <w:szCs w:val="21"/>
          <w:lang w:val="en-US" w:eastAsia="zh-CN"/>
        </w:rPr>
      </w:pPr>
      <w:r>
        <w:rPr>
          <w:rFonts w:hint="eastAsia" w:ascii="楷体_GB2312" w:hAnsi="仿宋" w:eastAsia="楷体_GB2312" w:cs="楷体_GB2312"/>
          <w:kern w:val="0"/>
          <w:sz w:val="21"/>
          <w:szCs w:val="21"/>
        </w:rPr>
        <w:t>单位名称：</w:t>
      </w:r>
      <w:r>
        <w:rPr>
          <w:rFonts w:hint="eastAsia" w:ascii="楷体_GB2312" w:hAnsi="仿宋" w:eastAsia="楷体_GB2312" w:cs="楷体_GB2312"/>
          <w:kern w:val="0"/>
          <w:sz w:val="21"/>
          <w:szCs w:val="21"/>
          <w:lang w:eastAsia="zh-CN"/>
        </w:rPr>
        <w:t>硚口区人民政府易家街道办事处</w:t>
      </w:r>
      <w:r>
        <w:rPr>
          <w:rFonts w:hint="eastAsia" w:ascii="楷体_GB2312" w:hAnsi="仿宋" w:eastAsia="楷体_GB2312" w:cs="楷体_GB2312"/>
          <w:kern w:val="0"/>
          <w:sz w:val="21"/>
          <w:szCs w:val="21"/>
          <w:lang w:val="en-US" w:eastAsia="zh-CN"/>
        </w:rPr>
        <w:t xml:space="preserve">  </w:t>
      </w:r>
      <w:r>
        <w:rPr>
          <w:rFonts w:ascii="楷体_GB2312" w:hAnsi="仿宋" w:eastAsia="楷体_GB2312" w:cs="楷体_GB2312"/>
          <w:kern w:val="0"/>
          <w:sz w:val="21"/>
          <w:szCs w:val="21"/>
        </w:rPr>
        <w:t xml:space="preserve"> </w:t>
      </w:r>
      <w:r>
        <w:rPr>
          <w:rFonts w:hint="eastAsia" w:ascii="楷体_GB2312" w:hAnsi="仿宋" w:eastAsia="楷体_GB2312" w:cs="楷体_GB2312"/>
          <w:kern w:val="0"/>
          <w:sz w:val="21"/>
          <w:szCs w:val="21"/>
          <w:lang w:val="en-US" w:eastAsia="zh-CN"/>
        </w:rPr>
        <w:t xml:space="preserve">                  </w:t>
      </w:r>
      <w:r>
        <w:rPr>
          <w:rFonts w:ascii="楷体_GB2312" w:hAnsi="仿宋" w:eastAsia="楷体_GB2312" w:cs="楷体_GB2312"/>
          <w:kern w:val="0"/>
          <w:sz w:val="21"/>
          <w:szCs w:val="21"/>
        </w:rPr>
        <w:t xml:space="preserve"> </w:t>
      </w:r>
      <w:r>
        <w:rPr>
          <w:rFonts w:hint="eastAsia" w:ascii="楷体_GB2312" w:hAnsi="仿宋" w:eastAsia="楷体_GB2312" w:cs="楷体_GB2312"/>
          <w:kern w:val="0"/>
          <w:sz w:val="21"/>
          <w:szCs w:val="21"/>
        </w:rPr>
        <w:t>填报日期：</w:t>
      </w:r>
      <w:r>
        <w:rPr>
          <w:rFonts w:hint="eastAsia" w:ascii="楷体_GB2312" w:hAnsi="仿宋" w:eastAsia="楷体_GB2312" w:cs="楷体_GB2312"/>
          <w:kern w:val="0"/>
          <w:sz w:val="21"/>
          <w:szCs w:val="21"/>
          <w:lang w:val="en-US" w:eastAsia="zh-CN"/>
        </w:rPr>
        <w:t>2025.5.19</w:t>
      </w:r>
    </w:p>
    <w:tbl>
      <w:tblPr>
        <w:tblStyle w:val="3"/>
        <w:tblW w:w="90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"/>
        <w:gridCol w:w="709"/>
        <w:gridCol w:w="1136"/>
        <w:gridCol w:w="1335"/>
        <w:gridCol w:w="935"/>
        <w:gridCol w:w="398"/>
        <w:gridCol w:w="1484"/>
        <w:gridCol w:w="669"/>
        <w:gridCol w:w="15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47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512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基层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公共安全事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务经费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47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340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硚口区易家街道办事处</w:t>
            </w:r>
          </w:p>
        </w:tc>
        <w:tc>
          <w:tcPr>
            <w:tcW w:w="2551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项目实施单位</w:t>
            </w:r>
          </w:p>
        </w:tc>
        <w:tc>
          <w:tcPr>
            <w:tcW w:w="1555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  <w:t>公共安全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办　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47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项目类别</w:t>
            </w:r>
          </w:p>
        </w:tc>
        <w:tc>
          <w:tcPr>
            <w:tcW w:w="7512" w:type="dxa"/>
            <w:gridSpan w:val="7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 xml:space="preserve">1.部门预算项目   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 xml:space="preserve">   2.财政专项资金   □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47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项目属性</w:t>
            </w:r>
          </w:p>
        </w:tc>
        <w:tc>
          <w:tcPr>
            <w:tcW w:w="7512" w:type="dxa"/>
            <w:gridSpan w:val="7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.持续性项目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  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.新增性项目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47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项目类型</w:t>
            </w:r>
          </w:p>
        </w:tc>
        <w:tc>
          <w:tcPr>
            <w:tcW w:w="7512" w:type="dxa"/>
            <w:gridSpan w:val="7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.常年性项目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  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.延续性项目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   3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.一次性项目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547" w:type="dxa"/>
            <w:gridSpan w:val="2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预算执行情况（万元）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1335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预算数（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A）</w:t>
            </w:r>
          </w:p>
        </w:tc>
        <w:tc>
          <w:tcPr>
            <w:tcW w:w="1333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执行数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（B）</w:t>
            </w:r>
          </w:p>
        </w:tc>
        <w:tc>
          <w:tcPr>
            <w:tcW w:w="3708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执行率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（B/A）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547" w:type="dxa"/>
            <w:gridSpan w:val="2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年度财政资金总额</w:t>
            </w:r>
          </w:p>
        </w:tc>
        <w:tc>
          <w:tcPr>
            <w:tcW w:w="1335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333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7.99</w:t>
            </w:r>
          </w:p>
        </w:tc>
        <w:tc>
          <w:tcPr>
            <w:tcW w:w="3708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99.88%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838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1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36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668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484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年初目标值（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A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）</w:t>
            </w:r>
          </w:p>
        </w:tc>
        <w:tc>
          <w:tcPr>
            <w:tcW w:w="2224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实际完成值（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B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2" w:hRule="atLeast"/>
          <w:jc w:val="center"/>
        </w:trPr>
        <w:tc>
          <w:tcPr>
            <w:tcW w:w="83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668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1"/>
                <w:szCs w:val="21"/>
                <w:shd w:val="clear" w:color="auto" w:fill="auto"/>
              </w:rPr>
              <w:t>安全隐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333333"/>
                <w:sz w:val="21"/>
                <w:szCs w:val="21"/>
                <w:shd w:val="clear" w:color="auto" w:fill="auto"/>
              </w:rPr>
              <w:t>患排查整改率</w:t>
            </w:r>
          </w:p>
        </w:tc>
        <w:tc>
          <w:tcPr>
            <w:tcW w:w="148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100%　</w:t>
            </w:r>
          </w:p>
        </w:tc>
        <w:tc>
          <w:tcPr>
            <w:tcW w:w="2224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100%，本年度认真开展日常安全检查，健全安全生产信息报送机制，完善社区—街道的日报台账制度，共检查点位1014个，发现隐患331个，已全部整改到位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83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2668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1"/>
                <w:szCs w:val="21"/>
                <w:shd w:val="clear" w:color="auto" w:fill="auto"/>
              </w:rPr>
              <w:t>公共安全宣传</w:t>
            </w:r>
          </w:p>
        </w:tc>
        <w:tc>
          <w:tcPr>
            <w:tcW w:w="1484" w:type="dxa"/>
            <w:vAlign w:val="center"/>
          </w:tcPr>
          <w:p>
            <w:pPr>
              <w:widowControl/>
              <w:ind w:firstLine="210" w:firstLineChars="100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≥30次</w:t>
            </w:r>
          </w:p>
        </w:tc>
        <w:tc>
          <w:tcPr>
            <w:tcW w:w="2224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  <w:t>本年度共开展安全生产宣传活动</w:t>
            </w: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109次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atLeast"/>
          <w:jc w:val="center"/>
        </w:trPr>
        <w:tc>
          <w:tcPr>
            <w:tcW w:w="83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  <w:t>质量指标</w:t>
            </w:r>
          </w:p>
        </w:tc>
        <w:tc>
          <w:tcPr>
            <w:tcW w:w="2668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1"/>
                <w:szCs w:val="21"/>
                <w:shd w:val="clear" w:color="auto" w:fill="auto"/>
              </w:rPr>
              <w:t>网格结案率</w:t>
            </w:r>
          </w:p>
        </w:tc>
        <w:tc>
          <w:tcPr>
            <w:tcW w:w="148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≥95%　</w:t>
            </w:r>
          </w:p>
        </w:tc>
        <w:tc>
          <w:tcPr>
            <w:tcW w:w="2224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  <w:t>本年度共受理信访件</w:t>
            </w: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368件，答复345起，结案率93.75%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0" w:hRule="atLeast"/>
          <w:jc w:val="center"/>
        </w:trPr>
        <w:tc>
          <w:tcPr>
            <w:tcW w:w="83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</w:rPr>
              <w:t>社会效益指标</w:t>
            </w:r>
          </w:p>
        </w:tc>
        <w:tc>
          <w:tcPr>
            <w:tcW w:w="2668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1"/>
                <w:szCs w:val="21"/>
                <w:shd w:val="clear" w:color="auto" w:fill="auto"/>
              </w:rPr>
              <w:t>处理信访事件及时率</w:t>
            </w:r>
          </w:p>
        </w:tc>
        <w:tc>
          <w:tcPr>
            <w:tcW w:w="148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100%</w:t>
            </w:r>
          </w:p>
        </w:tc>
        <w:tc>
          <w:tcPr>
            <w:tcW w:w="2224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  <w:t>本年度街道执法中心处理各类投诉及上级督办</w:t>
            </w: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342件，下达《责令限期改正决定书》307次，处理信访事件及时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8" w:hRule="atLeast"/>
          <w:jc w:val="center"/>
        </w:trPr>
        <w:tc>
          <w:tcPr>
            <w:tcW w:w="1547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偏差大或</w:t>
            </w:r>
          </w:p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目标未完成</w:t>
            </w:r>
          </w:p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原因分析</w:t>
            </w:r>
          </w:p>
        </w:tc>
        <w:tc>
          <w:tcPr>
            <w:tcW w:w="7512" w:type="dxa"/>
            <w:gridSpan w:val="7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  <w:t>目标未完成原因分析：质量指标“网格结案率”年初指标值≥</w:t>
            </w: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95%，实际完成情况为93.75%，由于街道居住人口较多，各种需求不一样，确实存在无法结案的情况，年初指标值设置较高。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3" w:hRule="atLeast"/>
          <w:jc w:val="center"/>
        </w:trPr>
        <w:tc>
          <w:tcPr>
            <w:tcW w:w="1547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改进措施及</w:t>
            </w:r>
          </w:p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结果应用方案</w:t>
            </w:r>
          </w:p>
        </w:tc>
        <w:tc>
          <w:tcPr>
            <w:tcW w:w="7512" w:type="dxa"/>
            <w:gridSpan w:val="7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  <w:t>改进措施：结合本次绩效自评结果，在下一年度编制绩效指标值时，调整相关指标值，确保指标高效完成。</w:t>
            </w:r>
          </w:p>
        </w:tc>
      </w:tr>
    </w:tbl>
    <w:p>
      <w:pPr>
        <w:widowControl/>
        <w:rPr>
          <w:rFonts w:ascii="仿宋_GB2312" w:hAnsi="宋体" w:eastAsia="仿宋_GB2312"/>
          <w:kern w:val="0"/>
        </w:rPr>
      </w:pPr>
      <w:r>
        <w:rPr>
          <w:rFonts w:hint="eastAsia" w:ascii="仿宋_GB2312" w:hAnsi="宋体" w:eastAsia="仿宋_GB2312" w:cs="仿宋_GB2312"/>
          <w:kern w:val="0"/>
        </w:rPr>
        <w:t>备注：</w:t>
      </w:r>
    </w:p>
    <w:p>
      <w:pPr>
        <w:widowControl/>
        <w:ind w:firstLine="420" w:firstLineChars="200"/>
        <w:rPr>
          <w:rFonts w:ascii="仿宋_GB2312" w:hAnsi="宋体" w:eastAsia="仿宋_GB2312"/>
          <w:kern w:val="0"/>
        </w:rPr>
      </w:pPr>
      <w:r>
        <w:rPr>
          <w:rFonts w:ascii="仿宋_GB2312" w:hAnsi="宋体" w:eastAsia="仿宋_GB2312" w:cs="仿宋_GB2312"/>
          <w:kern w:val="0"/>
        </w:rPr>
        <w:t>1.</w:t>
      </w:r>
      <w:r>
        <w:rPr>
          <w:rFonts w:hint="eastAsia" w:ascii="仿宋_GB2312" w:hAnsi="宋体" w:eastAsia="仿宋_GB2312" w:cs="仿宋_GB2312"/>
          <w:kern w:val="0"/>
        </w:rPr>
        <w:t>预算执行情况口径：预算数为调整后财政资金总额（包括上年结余结转），执行数为资金使用单位财政资金实际支出数。</w:t>
      </w:r>
    </w:p>
    <w:p>
      <w:pPr>
        <w:widowControl/>
        <w:ind w:firstLine="420" w:firstLineChars="200"/>
        <w:rPr>
          <w:rFonts w:hint="eastAsia" w:ascii="仿宋_GB2312" w:hAnsi="宋体" w:eastAsia="仿宋_GB2312"/>
          <w:kern w:val="0"/>
          <w:lang w:eastAsia="zh-CN"/>
        </w:rPr>
      </w:pPr>
      <w:r>
        <w:rPr>
          <w:rFonts w:ascii="仿宋_GB2312" w:hAnsi="宋体" w:eastAsia="仿宋_GB2312" w:cs="仿宋_GB2312"/>
          <w:kern w:val="0"/>
        </w:rPr>
        <w:t>2.</w:t>
      </w:r>
      <w:r>
        <w:rPr>
          <w:rFonts w:hint="eastAsia" w:ascii="仿宋_GB2312" w:hAnsi="宋体" w:eastAsia="仿宋_GB2312" w:cs="仿宋_GB2312"/>
          <w:kern w:val="0"/>
          <w:lang w:eastAsia="zh-CN"/>
        </w:rPr>
        <w:t>基于经济性和必要性等因素考虑，满意度指标暂时可不作为必评指标。</w:t>
      </w:r>
    </w:p>
    <w:p>
      <w:pPr>
        <w:widowControl/>
        <w:ind w:firstLine="420" w:firstLineChars="200"/>
        <w:rPr>
          <w:rFonts w:hint="eastAsia" w:ascii="仿宋_GB2312" w:hAnsi="宋体" w:eastAsia="仿宋_GB2312" w:cs="仿宋_GB2312"/>
          <w:kern w:val="0"/>
          <w:lang w:eastAsia="zh-CN"/>
        </w:rPr>
      </w:pPr>
      <w:r>
        <w:rPr>
          <w:rFonts w:ascii="仿宋_GB2312" w:hAnsi="宋体" w:eastAsia="仿宋_GB2312" w:cs="仿宋_GB2312"/>
          <w:kern w:val="0"/>
        </w:rPr>
        <w:t>3.</w:t>
      </w:r>
      <w:r>
        <w:rPr>
          <w:rFonts w:hint="eastAsia" w:ascii="仿宋_GB2312" w:hAnsi="宋体" w:eastAsia="仿宋_GB2312" w:cs="仿宋_GB2312"/>
          <w:kern w:val="0"/>
          <w:lang w:eastAsia="zh-CN"/>
        </w:rPr>
        <w:t>部门预算项目以二级项目填报。</w:t>
      </w:r>
    </w:p>
    <w:p>
      <w:pPr>
        <w:widowControl/>
        <w:ind w:firstLine="420" w:firstLineChars="200"/>
        <w:rPr>
          <w:rFonts w:hint="eastAsia" w:ascii="仿宋_GB2312" w:hAnsi="宋体" w:eastAsia="仿宋_GB2312" w:cs="仿宋_GB2312"/>
          <w:kern w:val="0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altName w:val="仿宋_GB2312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1A0F3C52" w:usb2="00000010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F04C7E"/>
    <w:rsid w:val="19BA2E33"/>
    <w:rsid w:val="21F04C7E"/>
    <w:rsid w:val="29096900"/>
    <w:rsid w:val="55AD277E"/>
    <w:rsid w:val="710F5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200" w:firstLineChars="200"/>
    </w:pPr>
    <w:rPr>
      <w:rFonts w:ascii="宋体" w:hAnsi="宋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677</Words>
  <Characters>747</Characters>
  <Lines>0</Lines>
  <Paragraphs>0</Paragraphs>
  <TotalTime>1</TotalTime>
  <ScaleCrop>false</ScaleCrop>
  <LinksUpToDate>false</LinksUpToDate>
  <CharactersWithSpaces>809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2025-05-19T08:55:00Z</dcterms:created>
  <dc:creator>鄢珍</dc:creator>
  <cp:lastModifiedBy>月色难删</cp:lastModifiedBy>
  <cp:lastPrinted>2025-05-30T02:07:04Z</cp:lastPrinted>
  <dcterms:modified xsi:type="dcterms:W3CDTF">2025-05-30T02:07:33Z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3970782A6A50412E891CEDCD426294E0_11</vt:lpwstr>
  </property>
  <property fmtid="{D5CDD505-2E9C-101B-9397-08002B2CF9AE}" pid="4" name="KSOTemplateDocerSaveRecord">
    <vt:lpwstr>eyJoZGlkIjoiMjkxNDRiMDhiMTAzNDQwMTZiYzAzNGRiMzQ2YzU4YjAiLCJ1c2VySWQiOiIzMDI1MzI3MTAifQ==</vt:lpwstr>
  </property>
</Properties>
</file>