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>社区公益性岗位经费补贴</w:t>
      </w: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武汉市硚口区人民政府易家街办事处                   </w:t>
      </w:r>
    </w:p>
    <w:p>
      <w:pPr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2019年8月</w:t>
      </w:r>
    </w:p>
    <w:p>
      <w:pPr>
        <w:jc w:val="center"/>
        <w:rPr>
          <w:rFonts w:ascii="方正小标宋简体" w:hAnsi="Arial" w:eastAsia="方正小标宋简体" w:cs="Arial"/>
          <w:sz w:val="32"/>
          <w:szCs w:val="32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32"/>
          <w:szCs w:val="32"/>
        </w:rPr>
        <w:t>2018年度社区公益性岗位经费补贴项目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Arial" w:eastAsia="方正小标宋简体" w:cs="Arial"/>
          <w:sz w:val="32"/>
          <w:szCs w:val="32"/>
        </w:rPr>
        <w:t>绩效自评报告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一、项目基本情况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1.项目内容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2018年项目预算总额</w:t>
      </w:r>
      <w:r>
        <w:rPr>
          <w:rFonts w:ascii="仿宋_GB2312" w:eastAsia="仿宋_GB2312"/>
          <w:sz w:val="30"/>
          <w:szCs w:val="30"/>
        </w:rPr>
        <w:t>2,884,302.00元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系各类</w:t>
      </w:r>
      <w:r>
        <w:rPr>
          <w:rFonts w:hint="eastAsia" w:ascii="仿宋_GB2312" w:eastAsia="仿宋_GB2312"/>
          <w:sz w:val="30"/>
          <w:szCs w:val="30"/>
        </w:rPr>
        <w:t>社区公益性岗位</w:t>
      </w:r>
      <w:r>
        <w:rPr>
          <w:rFonts w:ascii="仿宋_GB2312" w:eastAsia="仿宋_GB2312"/>
          <w:sz w:val="30"/>
          <w:szCs w:val="30"/>
        </w:rPr>
        <w:t>补贴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2.完成概况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今年完成新增就业指标数2500人，扶持创业人数指标数320人，就业培训160人和创业培训100人指标，已为573人次发放4050补贴共计937313.75元，协助区劳动局处理欠薪劳动纠纷事件8起，为330户用人单位完成劳动保障书面网上年审工作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为辖区城市低保54户，农村低保1户，特困供养人员1人，共发放救助金519894元，对9户低保家庭或低收入困难家庭进行了医中或医后医疗救助，救助金额共计47939元。通过年审以及平时的动态管理核查出不符合规定、停止享受待遇的低保户有2户，新增医保卡制卡156张；新增参保81人；续保270人；退休年审2455人；现金报销16人；居民医保截止目前缴费完成665人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慰问优抚对象17人，发放慰问金1700元；为11名企业退休人员发放春节补助16500元；为5名1953年前入伍老战士发放慰问补助4500元。在“八一”期间，我街为17名优抚对象发放慰问金1850元；为企业退休参战人员发放慰问金16500元；为驻军部队送去9149元的慰问物资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为388人次的残疾人发放困难生活补贴47080元；为1040人次的残疾人发放重度护理补贴104000元；为30名低保轻度智力残疾人发放护理补贴3000元；为200人次的低保精神残疾人发放服药补贴30000元；为4名残疾人提供公益岗，补贴金额26664元；为辖区老年人共发放661人次212000元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⑤制定了《易家街关于打造“一家人”综合服务平台的工作方案》，确定了“1+9”微信公众号服务模块，具体内容为：在红色引领下，设置9大功能区，包括党建服务、生活服务、法律服务、文体服务、志愿服务、红色物业、政务服务、企业服务和清风眼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6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⑥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根据《关于做好全市社区（村）“两委”集中换届准备工作的通知》（武组通[2018]33号）的有关要求，制定了《2018年易家街社区（村）“两委”换届选举准备工作实施方案》，根据街情实际，分解责任，划定时间，明确任务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(二)项目预算绩效目标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①新增就业人数：2500人；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②扶持创业人数：320人；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③发放各类困难补贴人次：1735人次；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④慰问各类优抚对象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：50人次；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⑤医中或医后医疗救助：9户；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①“夕阳红”老年人兴趣爱好活动覆盖率：</w:t>
      </w:r>
      <w:r>
        <w:rPr>
          <w:rFonts w:ascii="仿宋_GB2312" w:eastAsia="仿宋_GB2312"/>
          <w:sz w:val="30"/>
          <w:szCs w:val="30"/>
        </w:rPr>
        <w:t>60%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②街道居民公共服务满意度年度目标值</w:t>
      </w:r>
      <w:r>
        <w:rPr>
          <w:rFonts w:ascii="仿宋_GB2312" w:eastAsia="仿宋_GB2312"/>
          <w:sz w:val="30"/>
          <w:szCs w:val="30"/>
        </w:rPr>
        <w:t>90%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1.业务管理情况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根据上级文件的精神和年初绩效目标开展工作，严格《易家街内部控制手册》、通过制定相应的管理制度对项目质量控制、项目验收、项目基础资料等各个方面进行有效的管理。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2.财务管理情况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①预算安排、资金到位及实际执行情况</w:t>
      </w:r>
    </w:p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项目年初预算</w:t>
      </w:r>
      <w:r>
        <w:rPr>
          <w:rFonts w:ascii="仿宋_GB2312" w:eastAsia="仿宋_GB2312"/>
          <w:sz w:val="30"/>
          <w:szCs w:val="30"/>
        </w:rPr>
        <w:t>2,273,562.0</w:t>
      </w:r>
      <w:r>
        <w:rPr>
          <w:rFonts w:hint="eastAsia" w:ascii="仿宋_GB2312" w:eastAsia="仿宋_GB2312"/>
          <w:sz w:val="30"/>
          <w:szCs w:val="30"/>
        </w:rPr>
        <w:t>元、调整后预算为</w:t>
      </w:r>
      <w:r>
        <w:rPr>
          <w:rFonts w:ascii="仿宋_GB2312" w:eastAsia="仿宋_GB2312"/>
          <w:sz w:val="30"/>
          <w:szCs w:val="30"/>
        </w:rPr>
        <w:t>2,884,302.00</w:t>
      </w:r>
      <w:r>
        <w:rPr>
          <w:rFonts w:hint="eastAsia" w:ascii="仿宋_GB2312" w:eastAsia="仿宋_GB2312"/>
          <w:sz w:val="30"/>
          <w:szCs w:val="30"/>
        </w:rPr>
        <w:t>元、到位资金</w:t>
      </w:r>
      <w:r>
        <w:rPr>
          <w:rFonts w:ascii="仿宋_GB2312" w:eastAsia="仿宋_GB2312"/>
          <w:sz w:val="30"/>
          <w:szCs w:val="30"/>
        </w:rPr>
        <w:t>2,884,302.00</w:t>
      </w:r>
      <w:r>
        <w:rPr>
          <w:rFonts w:hint="eastAsia" w:ascii="仿宋_GB2312" w:eastAsia="仿宋_GB2312"/>
          <w:sz w:val="30"/>
          <w:szCs w:val="30"/>
        </w:rPr>
        <w:t>元、实际支出</w:t>
      </w:r>
      <w:r>
        <w:rPr>
          <w:rFonts w:ascii="仿宋_GB2312" w:eastAsia="仿宋_GB2312"/>
          <w:sz w:val="30"/>
          <w:szCs w:val="30"/>
        </w:rPr>
        <w:t>2,884,302.00</w:t>
      </w:r>
      <w:r>
        <w:rPr>
          <w:rFonts w:hint="eastAsia" w:ascii="仿宋_GB2312" w:eastAsia="仿宋_GB2312"/>
          <w:sz w:val="30"/>
          <w:szCs w:val="30"/>
        </w:rPr>
        <w:t>元，预算执行率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ascii="仿宋_GB2312" w:eastAsia="仿宋_GB2312"/>
          <w:sz w:val="30"/>
          <w:szCs w:val="30"/>
        </w:rPr>
        <w:t>%</w:t>
      </w:r>
      <w:r>
        <w:rPr>
          <w:rFonts w:hint="eastAsia" w:ascii="仿宋_GB2312" w:eastAsia="仿宋_GB2312"/>
          <w:sz w:val="30"/>
          <w:szCs w:val="30"/>
        </w:rPr>
        <w:t>。具体情况请见下表（单位：元）：</w:t>
      </w:r>
    </w:p>
    <w:p>
      <w:pPr>
        <w:spacing w:before="120" w:after="120" w:line="360" w:lineRule="auto"/>
        <w:ind w:firstLine="480" w:firstLineChars="200"/>
        <w:jc w:val="center"/>
        <w:outlineLvl w:val="2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社区公共服务综合事务项目预算执行情况表</w:t>
      </w:r>
    </w:p>
    <w:tbl>
      <w:tblPr>
        <w:tblStyle w:val="7"/>
        <w:tblW w:w="9154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64"/>
        <w:gridCol w:w="1300"/>
        <w:gridCol w:w="1460"/>
        <w:gridCol w:w="1800"/>
        <w:gridCol w:w="1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调整后预算数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实际执行数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其他对个人和家庭补助支出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2,269,962.00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2,880,702.00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2,880,702.00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3,600.00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3,600.00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3,600.00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2,273,562.00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2,884,302.00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2,884,302.00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(二)项目预算绩效目标的完成情况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①新增就业人数：目标值2500人、实际值2506人；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②扶持创业人数：目标值320人、实际值323人；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③发放各类困难补贴人次：目标值1735人次、实际值1735人次；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④慰问各类优抚对象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：目标值50人次、实际值50人次；</w:t>
      </w:r>
      <w:r>
        <w:rPr>
          <w:rFonts w:hint="eastAsia" w:ascii="仿宋_GB2312" w:eastAsia="仿宋_GB2312"/>
          <w:sz w:val="30"/>
          <w:szCs w:val="30"/>
        </w:rPr>
        <w:tab/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⑤医中或医后医疗救助：目标值9户、实际值9户。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①“夕阳红”老年人兴趣爱好活动覆盖率年度目标值</w:t>
      </w:r>
      <w:r>
        <w:rPr>
          <w:rFonts w:ascii="仿宋_GB2312" w:eastAsia="仿宋_GB2312"/>
          <w:sz w:val="30"/>
          <w:szCs w:val="30"/>
        </w:rPr>
        <w:t>60%</w:t>
      </w:r>
      <w:r>
        <w:rPr>
          <w:rFonts w:hint="eastAsia" w:ascii="仿宋_GB2312" w:eastAsia="仿宋_GB2312"/>
          <w:sz w:val="30"/>
          <w:szCs w:val="30"/>
        </w:rPr>
        <w:t>、实际值</w:t>
      </w:r>
      <w:r>
        <w:rPr>
          <w:rFonts w:ascii="仿宋_GB2312" w:eastAsia="仿宋_GB2312"/>
          <w:sz w:val="30"/>
          <w:szCs w:val="30"/>
        </w:rPr>
        <w:t>58%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②街道居民公共服务满意度年度目标值</w:t>
      </w:r>
      <w:r>
        <w:rPr>
          <w:rFonts w:ascii="仿宋_GB2312" w:eastAsia="仿宋_GB2312"/>
          <w:sz w:val="30"/>
          <w:szCs w:val="30"/>
        </w:rPr>
        <w:t>90%</w:t>
      </w:r>
      <w:r>
        <w:rPr>
          <w:rFonts w:hint="eastAsia" w:ascii="仿宋_GB2312" w:eastAsia="仿宋_GB2312"/>
          <w:sz w:val="30"/>
          <w:szCs w:val="30"/>
        </w:rPr>
        <w:t>、实际值</w:t>
      </w:r>
      <w:r>
        <w:rPr>
          <w:rFonts w:ascii="仿宋_GB2312" w:eastAsia="仿宋_GB2312"/>
          <w:sz w:val="30"/>
          <w:szCs w:val="30"/>
        </w:rPr>
        <w:t>91%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1.自评得分：</w:t>
      </w:r>
      <w:r>
        <w:rPr>
          <w:rFonts w:ascii="仿宋_GB2312" w:eastAsia="仿宋_GB2312"/>
          <w:sz w:val="30"/>
          <w:szCs w:val="30"/>
        </w:rPr>
        <w:t>98.46</w:t>
      </w:r>
      <w:r>
        <w:rPr>
          <w:rFonts w:hint="eastAsia" w:ascii="仿宋_GB2312" w:eastAsia="仿宋_GB2312"/>
          <w:sz w:val="30"/>
          <w:szCs w:val="30"/>
        </w:rPr>
        <w:t>分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2.综合评价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体来看，2018年项目绩效目标完成情况较好，项目符合国家政策，立项规范，绩效目标基本合理，实施、管理规范有序，产出、效益良好。但预算绩效管理的基础工作、内部控制制度建设等方面有待进一步规范和加强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(二)主要经验，存在的问题和改进措施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1.主要经验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1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①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有的放矢，夯实服务基石；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2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②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规范程序，抓好惠民服务；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3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③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三、分步推进，抓实社区建设。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2.存在的问题及改进措施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①对政策的学习、领会、贯彻需进一步增强。在工作中存在政策理解不透，业务知识学习不够，敢做和做对的能力还有待提高。尤其是经费使用方面，因缺乏明确的文件支持，限制了干事积极性。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采取的措施：加强政策的学习、交流，增强对政策理解强度，在工作中大胆放手干。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②对绩效评价工作认识需进一步加强，绩效评价体系需进一步建立、完善。评价过层中发现部分下属单位对绩效评价工作的认识不足，造成实际执行未制定相应的绩效评价相关制度，绩效目标管理，指标体系不够完善、绩效指标标的细化、量化有待改善，对项目执行过程的控制、监督有效约束不够，对项目效果认识与宣传力度不足，相关工作档案存在不完整等问题。 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的措施：进一步把绩效评价工作放到更重要的地位，把绩效管理的理念和要求融入项目支出预算管理各个环节，建立事前有目标、事中有监控、事后有评价、结果要运用的全过程绩效运行机制。根据项目长期绩效目标、结合财政部门的要求和自身演出的管理要求，合理设计具体绩效目标，将绩效目标与部门工作有机衔接、有效结合，定期进行绩效考核，发挥预算绩效管理的指引作用，增强项目承担单位绩效管理意识，提高项目绩效管理水平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hint="eastAsia" w:ascii="黑体" w:hAnsi="黑体" w:eastAsia="黑体" w:cs="宋体"/>
          <w:kern w:val="0"/>
          <w:sz w:val="30"/>
          <w:szCs w:val="30"/>
        </w:rPr>
        <w:t>2018年度项目绩效自评表（附后）</w:t>
      </w:r>
    </w:p>
    <w:p>
      <w:pPr>
        <w:adjustRightInd w:val="0"/>
        <w:snapToGrid w:val="0"/>
        <w:spacing w:line="580" w:lineRule="atLeast"/>
        <w:ind w:firstLine="560" w:firstLineChars="200"/>
        <w:jc w:val="left"/>
      </w:pPr>
      <w:r>
        <w:rPr>
          <w:rFonts w:ascii="黑体" w:hAnsi="黑体" w:eastAsia="黑体"/>
          <w:sz w:val="28"/>
          <w:szCs w:val="28"/>
        </w:rPr>
        <w:br w:type="page"/>
      </w:r>
    </w:p>
    <w:tbl>
      <w:tblPr>
        <w:tblStyle w:val="7"/>
        <w:tblW w:w="88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7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932"/>
              <w:gridCol w:w="1423"/>
              <w:gridCol w:w="1101"/>
              <w:gridCol w:w="466"/>
              <w:gridCol w:w="1197"/>
              <w:gridCol w:w="587"/>
              <w:gridCol w:w="804"/>
              <w:gridCol w:w="96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864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小标宋_GBK" w:hAnsi="宋体" w:eastAsia="方正小标宋_GBK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方正小标宋_GBK" w:hAnsi="宋体" w:eastAsia="方正小标宋_GBK" w:cs="宋体"/>
                      <w:color w:val="000000"/>
                      <w:kern w:val="0"/>
                      <w:sz w:val="28"/>
                      <w:szCs w:val="28"/>
                    </w:rPr>
                    <w:t>2018年度社区公益性岗位经费补贴项目绩效自评表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/>
                      <w:kern w:val="0"/>
                      <w:sz w:val="20"/>
                      <w:szCs w:val="20"/>
                    </w:rPr>
                    <w:t>填报日期：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2019.8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楷体_GB2312" w:hAnsi="宋体" w:eastAsia="楷体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楷体_GB2312" w:hAnsi="宋体" w:eastAsia="楷体_GB2312" w:cs="宋体"/>
                      <w:color w:val="000000"/>
                      <w:kern w:val="0"/>
                      <w:sz w:val="20"/>
                      <w:szCs w:val="20"/>
                    </w:rPr>
                    <w:t>总分：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9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9.33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7477" w:type="dxa"/>
                  <w:gridSpan w:val="8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社区公益性岗位经费补贴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主管部门</w:t>
                  </w:r>
                </w:p>
              </w:tc>
              <w:tc>
                <w:tcPr>
                  <w:tcW w:w="3456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武汉市硚口区易家街办事处</w:t>
                  </w:r>
                </w:p>
              </w:tc>
              <w:tc>
                <w:tcPr>
                  <w:tcW w:w="225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项目实施单位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公共服务办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项目类别</w:t>
                  </w:r>
                </w:p>
              </w:tc>
              <w:tc>
                <w:tcPr>
                  <w:tcW w:w="7477" w:type="dxa"/>
                  <w:gridSpan w:val="8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1、部门预算项目  √   2、专项资金 □   3、上级转移支付项目 □</w:t>
                  </w:r>
                </w:p>
              </w:tc>
            </w:tr>
            <w:tr>
              <w:tblPrEx>
                <w:tblLayout w:type="fixed"/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项目属性</w:t>
                  </w:r>
                </w:p>
              </w:tc>
              <w:tc>
                <w:tcPr>
                  <w:tcW w:w="7477" w:type="dxa"/>
                  <w:gridSpan w:val="8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 xml:space="preserve">1、持续性项目    √   2、新增性项目 □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项目类型</w:t>
                  </w:r>
                </w:p>
              </w:tc>
              <w:tc>
                <w:tcPr>
                  <w:tcW w:w="7477" w:type="dxa"/>
                  <w:gridSpan w:val="8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1、常年性项目    □   2、延续性项目 √     3、一次续性项目 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预算执行情况（万元）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预算数（A)</w:t>
                  </w:r>
                </w:p>
              </w:tc>
              <w:tc>
                <w:tcPr>
                  <w:tcW w:w="1567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执行数(B)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执行率(B/A)</w:t>
                  </w:r>
                </w:p>
              </w:tc>
              <w:tc>
                <w:tcPr>
                  <w:tcW w:w="2358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得分（20分*执行</w:t>
                  </w:r>
                  <w:bookmarkStart w:id="0" w:name="_GoBack"/>
                  <w:bookmarkEnd w:id="0"/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率）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（20分）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年度财政资金总额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288.43</w:t>
                  </w:r>
                </w:p>
              </w:tc>
              <w:tc>
                <w:tcPr>
                  <w:tcW w:w="1567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288.43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hint="eastAsia" w:ascii="Times New Roman" w:hAnsi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58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一级指标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二级指标</w:t>
                  </w: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三级指标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年初目标值（A)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实际完成值(B)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得分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产出指标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数量指标</w:t>
                  </w: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新增就业人数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2500人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2506人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（40分）</w:t>
                  </w: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扶持创业人数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320人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323人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发放各类困难补贴人次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1735人次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1735人次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慰问各类优抚对象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50人次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50人次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医中或医后医疗救助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9户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9户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效益指标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社会效益</w:t>
                  </w: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“夕阳红”老年人兴趣爱好活动覆盖率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58%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 xml:space="preserve">  19.33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63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（40分）</w:t>
                  </w:r>
                </w:p>
              </w:tc>
              <w:tc>
                <w:tcPr>
                  <w:tcW w:w="932" w:type="dxa"/>
                  <w:vMerge w:val="continue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9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街道居民公共服务满意度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91%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8640" w:type="dxa"/>
                  <w:gridSpan w:val="9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8640" w:type="dxa"/>
                  <w:gridSpan w:val="9"/>
                  <w:tcBorders>
                    <w:top w:val="nil"/>
                    <w:left w:val="single" w:color="auto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1.预算执行情况口径：预算数为调整后财政资金总额（包括上年结余结转），执行数为资金使用单位财政资金实际支出数。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8640" w:type="dxa"/>
                  <w:gridSpan w:val="9"/>
                  <w:tcBorders>
                    <w:top w:val="nil"/>
                    <w:left w:val="single" w:color="auto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0" w:hRule="atLeast"/>
              </w:trPr>
              <w:tc>
                <w:tcPr>
                  <w:tcW w:w="8640" w:type="dxa"/>
                  <w:gridSpan w:val="9"/>
                  <w:tcBorders>
                    <w:top w:val="nil"/>
                    <w:left w:val="single" w:color="auto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8640" w:type="dxa"/>
                  <w:gridSpan w:val="9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4.基于经济性和必要性等因素考虑，满意度指标暂可不作为必评指标。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126FF"/>
    <w:rsid w:val="00042135"/>
    <w:rsid w:val="00056ABF"/>
    <w:rsid w:val="000A4FF5"/>
    <w:rsid w:val="000B5F92"/>
    <w:rsid w:val="000E621A"/>
    <w:rsid w:val="000F43B6"/>
    <w:rsid w:val="00100427"/>
    <w:rsid w:val="00112ED5"/>
    <w:rsid w:val="00154D67"/>
    <w:rsid w:val="00174B20"/>
    <w:rsid w:val="00183437"/>
    <w:rsid w:val="001C0248"/>
    <w:rsid w:val="001E42B5"/>
    <w:rsid w:val="001E7CD1"/>
    <w:rsid w:val="001E7D70"/>
    <w:rsid w:val="001F15C4"/>
    <w:rsid w:val="001F23E0"/>
    <w:rsid w:val="002937D8"/>
    <w:rsid w:val="002D7E04"/>
    <w:rsid w:val="00364A30"/>
    <w:rsid w:val="00385F19"/>
    <w:rsid w:val="003C1046"/>
    <w:rsid w:val="00485995"/>
    <w:rsid w:val="004B0ACD"/>
    <w:rsid w:val="004E15DA"/>
    <w:rsid w:val="00501926"/>
    <w:rsid w:val="0051574A"/>
    <w:rsid w:val="00540C78"/>
    <w:rsid w:val="00544B98"/>
    <w:rsid w:val="00557226"/>
    <w:rsid w:val="00580A39"/>
    <w:rsid w:val="005E0123"/>
    <w:rsid w:val="006204F3"/>
    <w:rsid w:val="006A0AD9"/>
    <w:rsid w:val="00734CC0"/>
    <w:rsid w:val="00766A0D"/>
    <w:rsid w:val="00794035"/>
    <w:rsid w:val="007F7D66"/>
    <w:rsid w:val="00834C39"/>
    <w:rsid w:val="00843E3D"/>
    <w:rsid w:val="00851676"/>
    <w:rsid w:val="00886C4C"/>
    <w:rsid w:val="008C4294"/>
    <w:rsid w:val="008F2755"/>
    <w:rsid w:val="00964D1C"/>
    <w:rsid w:val="009B6E6A"/>
    <w:rsid w:val="009D37F9"/>
    <w:rsid w:val="009F65AA"/>
    <w:rsid w:val="00A8267D"/>
    <w:rsid w:val="00A97BA4"/>
    <w:rsid w:val="00AA2D18"/>
    <w:rsid w:val="00AD12E9"/>
    <w:rsid w:val="00AD2EEB"/>
    <w:rsid w:val="00AF360B"/>
    <w:rsid w:val="00B215C2"/>
    <w:rsid w:val="00B40288"/>
    <w:rsid w:val="00BB52C4"/>
    <w:rsid w:val="00BC4A5C"/>
    <w:rsid w:val="00BE4BEA"/>
    <w:rsid w:val="00BE652B"/>
    <w:rsid w:val="00BF5A1F"/>
    <w:rsid w:val="00BF625E"/>
    <w:rsid w:val="00BF64AA"/>
    <w:rsid w:val="00C71E1D"/>
    <w:rsid w:val="00CC574E"/>
    <w:rsid w:val="00D565C3"/>
    <w:rsid w:val="00DB7765"/>
    <w:rsid w:val="00E6724C"/>
    <w:rsid w:val="00EA0FF9"/>
    <w:rsid w:val="00ED0373"/>
    <w:rsid w:val="00EE11C6"/>
    <w:rsid w:val="00F27E5C"/>
    <w:rsid w:val="00F52052"/>
    <w:rsid w:val="00FE35B4"/>
    <w:rsid w:val="23021D7B"/>
    <w:rsid w:val="3014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9989D-DD0C-4135-AC37-AE5A6643B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7</Pages>
  <Words>537</Words>
  <Characters>3062</Characters>
  <Lines>25</Lines>
  <Paragraphs>7</Paragraphs>
  <TotalTime>0</TotalTime>
  <ScaleCrop>false</ScaleCrop>
  <LinksUpToDate>false</LinksUpToDate>
  <CharactersWithSpaces>3592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月色难删</cp:lastModifiedBy>
  <dcterms:modified xsi:type="dcterms:W3CDTF">2019-10-17T04:06:03Z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