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b w:val="0"/>
          <w:w w:val="90"/>
        </w:rPr>
      </w:pPr>
    </w:p>
    <w:p>
      <w:pPr>
        <w:pStyle w:val="2"/>
        <w:jc w:val="center"/>
        <w:rPr>
          <w:rFonts w:ascii="黑体" w:eastAsia="黑体"/>
          <w:b w:val="0"/>
          <w:w w:val="90"/>
        </w:rPr>
      </w:pPr>
      <w:r>
        <w:rPr>
          <w:rFonts w:hint="eastAsia" w:ascii="黑体" w:eastAsia="黑体"/>
          <w:b w:val="0"/>
          <w:w w:val="90"/>
        </w:rPr>
        <w:t>区直预算项目绩效自评报告</w:t>
      </w:r>
      <w:r>
        <w:rPr>
          <w:rFonts w:ascii="黑体" w:eastAsia="黑体"/>
          <w:b w:val="0"/>
          <w:w w:val="90"/>
        </w:rPr>
        <w:br w:type="textWrapping"/>
      </w: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项目名称：  </w:t>
      </w:r>
      <w:r>
        <w:rPr>
          <w:rFonts w:hint="eastAsia" w:ascii="黑体" w:eastAsia="黑体"/>
          <w:bCs/>
          <w:sz w:val="36"/>
          <w:szCs w:val="36"/>
          <w:u w:val="single"/>
        </w:rPr>
        <w:t>社区环境卫生综合治理项目</w:t>
      </w:r>
    </w:p>
    <w:p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项目单位：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武汉市硚口区人民政府易家街办事处                   </w:t>
      </w:r>
    </w:p>
    <w:p>
      <w:pPr>
        <w:rPr>
          <w:rFonts w:ascii="黑体" w:eastAsia="黑体"/>
          <w:bCs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主管部门：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(盖章)            </w:t>
      </w:r>
    </w:p>
    <w:p>
      <w:pPr>
        <w:jc w:val="center"/>
        <w:rPr>
          <w:rFonts w:ascii="黑体" w:eastAsia="黑体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 xml:space="preserve">  2019年8月</w:t>
      </w:r>
    </w:p>
    <w:p>
      <w:pPr>
        <w:jc w:val="center"/>
        <w:rPr>
          <w:rFonts w:ascii="方正小标宋简体" w:hAnsi="Arial" w:eastAsia="方正小标宋简体" w:cs="Arial"/>
          <w:sz w:val="32"/>
          <w:szCs w:val="32"/>
        </w:rPr>
      </w:pPr>
      <w:r>
        <w:rPr>
          <w:rFonts w:ascii="仿宋_GB2312" w:eastAsia="仿宋_GB2312"/>
          <w:sz w:val="32"/>
        </w:rPr>
        <w:br w:type="page"/>
      </w:r>
      <w:r>
        <w:rPr>
          <w:rFonts w:hint="eastAsia" w:ascii="方正小标宋简体" w:hAnsi="Arial" w:eastAsia="方正小标宋简体" w:cs="Arial"/>
          <w:sz w:val="32"/>
          <w:szCs w:val="32"/>
        </w:rPr>
        <w:t>2018年度社区环境卫生综合治理</w:t>
      </w:r>
    </w:p>
    <w:p>
      <w:pPr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Arial" w:eastAsia="方正小标宋简体" w:cs="Arial"/>
          <w:sz w:val="32"/>
          <w:szCs w:val="32"/>
        </w:rPr>
        <w:t>绩效自评报告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一、项目基本情况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(一)项目概况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1.项目内容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2018年项目预算总额</w:t>
      </w:r>
      <w:r>
        <w:rPr>
          <w:rFonts w:ascii="仿宋_GB2312" w:eastAsia="仿宋_GB2312"/>
          <w:sz w:val="30"/>
          <w:szCs w:val="30"/>
        </w:rPr>
        <w:t>6,459,700.00元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系环卫所</w:t>
      </w:r>
      <w:r>
        <w:rPr>
          <w:rFonts w:hint="eastAsia" w:ascii="仿宋_GB2312" w:eastAsia="仿宋_GB2312"/>
          <w:sz w:val="30"/>
          <w:szCs w:val="30"/>
        </w:rPr>
        <w:t>清扫</w:t>
      </w:r>
      <w:r>
        <w:rPr>
          <w:rFonts w:ascii="仿宋_GB2312" w:eastAsia="仿宋_GB2312"/>
          <w:sz w:val="30"/>
          <w:szCs w:val="30"/>
        </w:rPr>
        <w:t>清运经费</w:t>
      </w:r>
      <w:r>
        <w:rPr>
          <w:rFonts w:hint="eastAsia" w:ascii="仿宋_GB2312" w:eastAsia="仿宋_GB2312"/>
          <w:sz w:val="30"/>
          <w:szCs w:val="30"/>
        </w:rPr>
        <w:t>。</w:t>
      </w:r>
      <w:r>
        <w:rPr>
          <w:rFonts w:ascii="仿宋_GB2312" w:eastAsia="仿宋_GB2312"/>
          <w:sz w:val="30"/>
          <w:szCs w:val="30"/>
        </w:rPr>
        <w:t xml:space="preserve"> 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2.完成概况</w:t>
      </w:r>
    </w:p>
    <w:p>
      <w:pPr>
        <w:widowControl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①</w:t>
      </w:r>
      <w:r>
        <w:rPr>
          <w:rFonts w:hint="eastAsia" w:ascii="仿宋_GB2312" w:hAnsi="宋体" w:eastAsia="仿宋_GB2312"/>
          <w:bCs/>
          <w:sz w:val="32"/>
          <w:szCs w:val="32"/>
        </w:rPr>
        <w:t>2018年卫生费全年收费任务132万元，截止2018年12月实际完成176.69万元，已完成计划133.86%。</w:t>
      </w:r>
    </w:p>
    <w:p>
      <w:pPr>
        <w:widowControl/>
        <w:ind w:firstLine="640" w:firstLineChars="200"/>
        <w:jc w:val="left"/>
        <w:rPr>
          <w:rFonts w:ascii="仿宋_GB2312" w:hAnsi="华文仿宋" w:eastAsia="仿宋_GB2312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②</w:t>
      </w:r>
      <w:r>
        <w:rPr>
          <w:rFonts w:hint="eastAsia" w:ascii="仿宋_GB2312" w:hAnsi="宋体" w:eastAsia="仿宋_GB2312"/>
          <w:bCs/>
          <w:sz w:val="32"/>
          <w:szCs w:val="32"/>
        </w:rPr>
        <w:t>2018年全市街道大城管综合排名第73名，完成绩效任务</w:t>
      </w:r>
      <w:r>
        <w:rPr>
          <w:rFonts w:hint="eastAsia" w:ascii="仿宋_GB2312" w:hAnsi="华文仿宋" w:eastAsia="仿宋_GB2312"/>
          <w:bCs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③</w:t>
      </w:r>
      <w:r>
        <w:rPr>
          <w:rFonts w:hint="eastAsia" w:ascii="仿宋_GB2312" w:hAnsi="华文仿宋" w:eastAsia="仿宋_GB2312"/>
          <w:bCs/>
          <w:sz w:val="32"/>
          <w:szCs w:val="32"/>
        </w:rPr>
        <w:t>将清扫路面细化，路面清扫实行“定员、定岗、定任务”分配到每名清扫工人。每名清扫工人负责一条路面清扫保洁，责任任务明确，消灭了“窝工”现象，整体提高了职工的积极性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(二)项目预算绩效目标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1.产出目标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①环境卫生清理三方检查扣分：</w:t>
      </w:r>
      <w:r>
        <w:rPr>
          <w:rFonts w:hint="eastAsia" w:ascii="仿宋_GB2312" w:eastAsia="仿宋_GB2312"/>
          <w:sz w:val="30"/>
          <w:szCs w:val="30"/>
        </w:rPr>
        <w:t>无；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②卫生费收取金额：132万元。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2.效果目标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①全市街道大城管综合排名：第75名；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②城市综合管理工作第三方考核排名：第80名。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二、项目绩效分析 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(一)项目管理情况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1.业务管理情况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根据上级文件的精神和年初绩效目标开展活动，严格按照《易家街内部控制手册》、通过制定相应的管理制度对项目质量控制、项目验收、项目基础资料等各个方面进行有效的管理。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2.财务管理情况 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①预算安排、资金到位及实际执行情况</w:t>
      </w:r>
    </w:p>
    <w:p>
      <w:pPr>
        <w:spacing w:before="120" w:after="120" w:line="360" w:lineRule="auto"/>
        <w:ind w:firstLine="560" w:firstLineChars="200"/>
        <w:outlineLvl w:val="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项目年初预算</w:t>
      </w:r>
      <w:r>
        <w:rPr>
          <w:rFonts w:ascii="Times New Roman" w:hAnsi="Times New Roman" w:eastAsia="仿宋_GB2312"/>
          <w:sz w:val="28"/>
          <w:szCs w:val="28"/>
        </w:rPr>
        <w:t>6,459,700.00</w:t>
      </w:r>
      <w:r>
        <w:rPr>
          <w:rFonts w:hint="eastAsia" w:ascii="Times New Roman" w:hAnsi="Times New Roman" w:eastAsia="仿宋_GB2312"/>
          <w:sz w:val="28"/>
          <w:szCs w:val="28"/>
        </w:rPr>
        <w:t>元、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调整后预算为</w:t>
      </w:r>
      <w:r>
        <w:rPr>
          <w:rFonts w:ascii="Times New Roman" w:hAnsi="Times New Roman" w:eastAsia="仿宋_GB2312"/>
          <w:sz w:val="28"/>
          <w:szCs w:val="28"/>
        </w:rPr>
        <w:t>6,459,700.00</w:t>
      </w:r>
      <w:r>
        <w:rPr>
          <w:rFonts w:hint="eastAsia" w:ascii="Times New Roman" w:hAnsi="Times New Roman" w:eastAsia="仿宋_GB2312"/>
          <w:sz w:val="28"/>
          <w:szCs w:val="28"/>
        </w:rPr>
        <w:t>元、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到位资金</w:t>
      </w:r>
      <w:r>
        <w:rPr>
          <w:rFonts w:ascii="Times New Roman" w:hAnsi="Times New Roman" w:eastAsia="仿宋_GB2312" w:cs="仿宋_GB2312"/>
          <w:sz w:val="28"/>
          <w:szCs w:val="28"/>
        </w:rPr>
        <w:t>6,459,700.00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元、实际支出</w:t>
      </w:r>
      <w:r>
        <w:rPr>
          <w:rFonts w:ascii="Times New Roman" w:hAnsi="Times New Roman" w:eastAsia="仿宋_GB2312" w:cs="仿宋_GB2312"/>
          <w:sz w:val="28"/>
          <w:szCs w:val="28"/>
        </w:rPr>
        <w:t>6,459,700.00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元，预算执行率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100</w:t>
      </w:r>
      <w:r>
        <w:rPr>
          <w:rFonts w:ascii="Times New Roman" w:hAnsi="Times New Roman" w:eastAsia="仿宋_GB2312" w:cs="仿宋_GB2312"/>
          <w:sz w:val="28"/>
          <w:szCs w:val="28"/>
        </w:rPr>
        <w:t>%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。具体情况请见下表（单位：元）：</w:t>
      </w:r>
    </w:p>
    <w:p>
      <w:pPr>
        <w:spacing w:before="120" w:after="120" w:line="360" w:lineRule="auto"/>
        <w:ind w:firstLine="480" w:firstLineChars="200"/>
        <w:jc w:val="center"/>
        <w:outlineLvl w:val="2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社区环境卫生综合治理项目预算执行情况表</w:t>
      </w:r>
    </w:p>
    <w:tbl>
      <w:tblPr>
        <w:tblStyle w:val="6"/>
        <w:tblW w:w="888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200"/>
        <w:gridCol w:w="1300"/>
        <w:gridCol w:w="1460"/>
        <w:gridCol w:w="1800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目内容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调整后预算数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实际执行数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执行率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生活补助费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6,210,000.00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6,210,000.00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6,210,000.00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29,200.00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29,200.00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29,200.00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38,400.00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38,400.00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38,400.00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9,600.00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9,600.00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9,600.00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办公设备购置费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23,500.00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23,500.00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163,500.00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116.79%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车辆费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6,459,700.00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6,459,700.00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6,459,700.00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</w:tbl>
    <w:p>
      <w:pPr>
        <w:spacing w:before="120" w:after="120" w:line="360" w:lineRule="auto"/>
        <w:ind w:firstLine="480" w:firstLineChars="200"/>
        <w:jc w:val="center"/>
        <w:outlineLvl w:val="2"/>
        <w:rPr>
          <w:rFonts w:ascii="Times New Roman" w:hAnsi="Times New Roman" w:eastAsia="仿宋_GB2312" w:cs="仿宋_GB2312"/>
          <w:sz w:val="24"/>
        </w:rPr>
      </w:pPr>
    </w:p>
    <w:p>
      <w:pPr>
        <w:spacing w:before="120" w:after="120" w:line="360" w:lineRule="auto"/>
        <w:ind w:firstLine="600" w:firstLineChars="200"/>
        <w:outlineLvl w:val="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(二)项目预算绩效目标的完成情况 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1.产出目标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①环境卫生清理三方检查扣分目标值：</w:t>
      </w:r>
      <w:r>
        <w:rPr>
          <w:rFonts w:hint="eastAsia" w:ascii="仿宋_GB2312" w:eastAsia="仿宋_GB2312"/>
          <w:sz w:val="30"/>
          <w:szCs w:val="30"/>
        </w:rPr>
        <w:t>无、实际值：有；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②卫生费收取金额目标值132万元、实际值176.69万元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2.效果目标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①全市街道大城管综合排名目标值第75名、实际值第72名；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②城市综合管理工作第三方考核排名目标值第80名、实际值第82名。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三、自评结论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(一)自评结论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1.自评得分：90.00分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2.综合评价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总体来看，2018年项目绩效目标完成情况较好，项目符合国家政策，立项规范，绩效目标基本合理，实施、管理规范有序，产出、效益良好。但预算绩效管理的基础工作、内部控制制度建设等方面有待进一步规范和加强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(二)主要经验，存在的问题和改进措施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1.主要经验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①</w:t>
      </w:r>
      <w:r>
        <w:rPr>
          <w:rFonts w:hint="eastAsia" w:ascii="仿宋_GB2312" w:hAnsi="宋体" w:eastAsia="仿宋_GB2312"/>
          <w:sz w:val="32"/>
          <w:szCs w:val="32"/>
        </w:rPr>
        <w:t>坚持“条块结合，以块为主”的工作原则，制定街道城市环境长效管理工作计划。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</w:rPr>
        <w:t>搞好重点、窗口地区和突出难点问题的整治。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2.存在的问题及改进措施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①</w:t>
      </w:r>
      <w:r>
        <w:rPr>
          <w:rFonts w:hint="eastAsia" w:ascii="仿宋_GB2312" w:eastAsia="仿宋_GB2312"/>
          <w:sz w:val="30"/>
          <w:szCs w:val="30"/>
        </w:rPr>
        <w:t xml:space="preserve">在环境卫生清理工作方面措施不够有力，针对辖区拆迁范围较大，对环境卫生清理带来的不便，虽然加大了巡查力度，清扫频率，但作用发挥不理想，造成三方检查扣分情况时有发生。     </w:t>
      </w:r>
    </w:p>
    <w:p>
      <w:pPr>
        <w:pStyle w:val="12"/>
        <w:ind w:firstLine="600"/>
        <w:rPr>
          <w:rFonts w:ascii="仿宋_GB2312" w:hAnsi="Calibri"/>
          <w:sz w:val="30"/>
          <w:szCs w:val="30"/>
        </w:rPr>
      </w:pPr>
      <w:r>
        <w:rPr>
          <w:rFonts w:hint="eastAsia" w:ascii="仿宋_GB2312" w:hAnsi="Calibri"/>
          <w:sz w:val="30"/>
          <w:szCs w:val="30"/>
        </w:rPr>
        <w:t>采取的措施：加强“精细化”“机械化”的工作要求，积极配合城中村改造拆迁工作，对拆迁围挡区域及辖区路段加强质检巡查，加强清扫清运频率。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②</w:t>
      </w:r>
      <w:r>
        <w:rPr>
          <w:rFonts w:hint="eastAsia" w:ascii="仿宋_GB2312" w:eastAsia="仿宋_GB2312"/>
          <w:sz w:val="30"/>
          <w:szCs w:val="30"/>
        </w:rPr>
        <w:t xml:space="preserve">对绩效评价工作认识需进一步加强，绩效评价体系需进一步建立、完善。评价过层中发现部分下属单位对绩效评价工作的认识不足，造成实际执行未制定相应的绩效评价相关制度，绩效目标管理，指标体系不够完善、绩效指标标的细化、量化有待改善，对项目执行过程的控制、监督有效约束不够，对项目效果认识与宣传力度不足，相关工作档案存在不完整等问题。 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针对上述问题，办事处进一步把绩效评价工作放到更重要的地位，把绩效管理的理念和要求融入项目支出预算管理各个环节，建立事前有目标、事中有监控、事后有评价、结果要运用的全过程绩效运行机制。根据项目长期绩效目标、结合财政部门的要求和自身演出的管理要求，合理设计具体绩效目标，将绩效目标与部门工作有机衔接、有效结合，定期进行绩效考核，发挥预算绩效管理的指引作用，增强项目承担单位绩效管理意识，提高项目绩效管理水平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</w:t>
      </w:r>
      <w:r>
        <w:rPr>
          <w:rFonts w:hint="eastAsia" w:ascii="黑体" w:hAnsi="黑体" w:eastAsia="黑体" w:cs="宋体"/>
          <w:kern w:val="0"/>
          <w:sz w:val="30"/>
          <w:szCs w:val="30"/>
        </w:rPr>
        <w:t>2018年度项目绩效自评表（附后）</w:t>
      </w:r>
    </w:p>
    <w:p>
      <w:pPr>
        <w:adjustRightInd w:val="0"/>
        <w:snapToGrid w:val="0"/>
        <w:spacing w:line="580" w:lineRule="atLeast"/>
        <w:ind w:firstLine="560" w:firstLineChars="200"/>
        <w:jc w:val="left"/>
      </w:pPr>
      <w:r>
        <w:rPr>
          <w:rFonts w:ascii="黑体" w:hAnsi="黑体" w:eastAsia="黑体"/>
          <w:sz w:val="28"/>
          <w:szCs w:val="28"/>
        </w:rPr>
        <w:br w:type="page"/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18"/>
        <w:gridCol w:w="1587"/>
        <w:gridCol w:w="1044"/>
        <w:gridCol w:w="585"/>
        <w:gridCol w:w="1065"/>
        <w:gridCol w:w="473"/>
        <w:gridCol w:w="816"/>
        <w:gridCol w:w="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  <w:t>2018年度社区社区环境卫生综合治理项目绩效自评表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填报日期：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2019.8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总分：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90.00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30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社区环境卫生综合治理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4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武汉市硚口区易家街办事处</w:t>
            </w:r>
          </w:p>
        </w:tc>
        <w:tc>
          <w:tcPr>
            <w:tcW w:w="21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7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城管办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30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1、部门预算项目  √   2、专项资金 □   3、上级转移支付项目 □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30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1、持续性项目    √   2、新增性项目 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30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1、常年性项目    □   2、延续性项目 √     3、一次续性项目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1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预算执行情况（万元）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预算数（A)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执行数(B)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执行率(B/A)</w:t>
            </w:r>
          </w:p>
        </w:tc>
        <w:tc>
          <w:tcPr>
            <w:tcW w:w="22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得分（20分*执行率）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645.97 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645.97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22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                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2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年初目标值（A)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实际完成值(B)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1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2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环境卫生清理三方检查扣分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无扣分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有扣分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121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2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卫生费收取金额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132万元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176.69万元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1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1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818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32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全市街道大城管综合排名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1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81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城市综合管理工作第三方考核排名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522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备注：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1.预算执行情况口径：预算数为调整后财政资金总额（包括上年结余结转），执行数为资金使用单位财政资金实际支出数。</w:t>
            </w:r>
          </w:p>
        </w:tc>
      </w:tr>
      <w:tr>
        <w:tblPrEx>
          <w:tblLayout w:type="fixed"/>
        </w:tblPrEx>
        <w:trPr>
          <w:trHeight w:val="760" w:hRule="atLeast"/>
        </w:trPr>
        <w:tc>
          <w:tcPr>
            <w:tcW w:w="8522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22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522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>
      <w:pPr>
        <w:adjustRightInd w:val="0"/>
        <w:snapToGrid w:val="0"/>
        <w:spacing w:line="580" w:lineRule="atLeast"/>
        <w:ind w:firstLine="420" w:firstLineChars="20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3"/>
    <w:rsid w:val="00056ABF"/>
    <w:rsid w:val="00095E3E"/>
    <w:rsid w:val="000A4FF5"/>
    <w:rsid w:val="000F43B6"/>
    <w:rsid w:val="00100427"/>
    <w:rsid w:val="00183437"/>
    <w:rsid w:val="001C0248"/>
    <w:rsid w:val="001F23E0"/>
    <w:rsid w:val="00207A28"/>
    <w:rsid w:val="002937D8"/>
    <w:rsid w:val="002D7E04"/>
    <w:rsid w:val="00364A30"/>
    <w:rsid w:val="00385F19"/>
    <w:rsid w:val="003B3A1A"/>
    <w:rsid w:val="00431B03"/>
    <w:rsid w:val="00465104"/>
    <w:rsid w:val="00465CC4"/>
    <w:rsid w:val="004B49BC"/>
    <w:rsid w:val="0051574A"/>
    <w:rsid w:val="00522DBF"/>
    <w:rsid w:val="005260AB"/>
    <w:rsid w:val="00540BFC"/>
    <w:rsid w:val="00540C78"/>
    <w:rsid w:val="00557226"/>
    <w:rsid w:val="005D4DC9"/>
    <w:rsid w:val="005E1CFF"/>
    <w:rsid w:val="006204F3"/>
    <w:rsid w:val="00692CCB"/>
    <w:rsid w:val="006A0AD9"/>
    <w:rsid w:val="006A715C"/>
    <w:rsid w:val="006C4273"/>
    <w:rsid w:val="006E1208"/>
    <w:rsid w:val="00707271"/>
    <w:rsid w:val="00734CC0"/>
    <w:rsid w:val="00766A0D"/>
    <w:rsid w:val="007F72FE"/>
    <w:rsid w:val="007F7D66"/>
    <w:rsid w:val="00806892"/>
    <w:rsid w:val="00834C39"/>
    <w:rsid w:val="00886C4C"/>
    <w:rsid w:val="008877BC"/>
    <w:rsid w:val="008C4294"/>
    <w:rsid w:val="008F2755"/>
    <w:rsid w:val="00964D1C"/>
    <w:rsid w:val="009A59EF"/>
    <w:rsid w:val="009A6DA7"/>
    <w:rsid w:val="009F65AA"/>
    <w:rsid w:val="00A43C84"/>
    <w:rsid w:val="00A97BA4"/>
    <w:rsid w:val="00AD2EEB"/>
    <w:rsid w:val="00B215C2"/>
    <w:rsid w:val="00B40288"/>
    <w:rsid w:val="00B8722D"/>
    <w:rsid w:val="00BA560D"/>
    <w:rsid w:val="00BE4BEA"/>
    <w:rsid w:val="00BF625E"/>
    <w:rsid w:val="00BF64AA"/>
    <w:rsid w:val="00C30013"/>
    <w:rsid w:val="00C90F69"/>
    <w:rsid w:val="00CB72A7"/>
    <w:rsid w:val="00CC637B"/>
    <w:rsid w:val="00D565C3"/>
    <w:rsid w:val="00DC62C2"/>
    <w:rsid w:val="00DF3CCC"/>
    <w:rsid w:val="00E6724C"/>
    <w:rsid w:val="00EA0FF9"/>
    <w:rsid w:val="00ED0373"/>
    <w:rsid w:val="00EE11C6"/>
    <w:rsid w:val="00F435E3"/>
    <w:rsid w:val="00F52052"/>
    <w:rsid w:val="00FB2854"/>
    <w:rsid w:val="7A0D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1">
    <w:name w:val="标题 3 Char"/>
    <w:basedOn w:val="7"/>
    <w:link w:val="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customStyle="1" w:styleId="12">
    <w:name w:val="列出段落1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5A532-CDF6-4223-B679-2A583CFC63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453</Words>
  <Characters>2584</Characters>
  <Lines>21</Lines>
  <Paragraphs>6</Paragraphs>
  <TotalTime>242</TotalTime>
  <ScaleCrop>false</ScaleCrop>
  <LinksUpToDate>false</LinksUpToDate>
  <CharactersWithSpaces>3031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2019-05-05T02:48:00Z</dcterms:created>
  <dc:creator>QKPC</dc:creator>
  <cp:lastModifiedBy>月色难删</cp:lastModifiedBy>
  <dcterms:modified xsi:type="dcterms:W3CDTF">2019-10-17T00:47:34Z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