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>基层党建综合事务经费项目</w:t>
      </w: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武汉市硚口区人民政府易家街办事处                   </w:t>
      </w:r>
    </w:p>
    <w:p>
      <w:pPr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2019年8月</w:t>
      </w:r>
    </w:p>
    <w:p>
      <w:pPr>
        <w:jc w:val="center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32"/>
          <w:szCs w:val="32"/>
        </w:rPr>
        <w:t>2018年度基层党建综合事务经费项目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绩效自评报告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一、项目基本情况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1.项目内容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2018年项目预算总额</w:t>
      </w:r>
      <w:r>
        <w:rPr>
          <w:rFonts w:ascii="仿宋_GB2312" w:eastAsia="仿宋_GB2312"/>
          <w:sz w:val="30"/>
          <w:szCs w:val="30"/>
        </w:rPr>
        <w:t>581,389.00元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包括以下内容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基层党组织运行经费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经检小组经费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3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③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街人大工委工作经费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4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④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社区兼职统战人员补贴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5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⑤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地方志工作经费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6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⑥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党建经费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7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⑦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党建事务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2.完成概况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①街党建办采取点面结合的方式，常抓不懈督导基层党组织落实基础工作，通过一系列的有效措施，全街基层党建工作基础再上新台阶。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街党建办通过确立两大党建特色项目，一是“一家人”党员志愿者“1234”服务模式，二是党员信仰提升工程，不仅让广大党员在活动中受教育，在集体中得提升，更将易家地区的党建工作宣传推广、发扬光大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③针对区委宣传部下达的新修改的意识形态考评办法，切实加强学习研究，把考评细则学深学透，采取措施确保工委意识形态工作职责明确，措施得力，落实有效。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④重点落实三大意识形态阵地建设，不断推进意识形态向好发展。一是抓网络阵地建设；二是抓宣传阵地建设；三是抓道德阵地建设。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⑤年初起草街工委年度中心组学习计划，将全年重点学习内容，领导讲学等内容融入其中，按计划、按步骤稳步推进。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6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⑥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继续推进落实社区文明创建标准化模块，在今年的二季度、三季度文明创建测评检查中，街道及相关社区均取得了较好成绩，街道还在全市的未成年人文明指数测评中得到全市B类街道第一名的佳绩，获得区文明办1万元的经费奖励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(二)项目预算绩效目标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①党建指导员会议次数：10次；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②检查基层党组织党建资料次数：5次；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③党员志愿者服务队开展志愿服务场次：50场；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④新建社区党组织建设：1个；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⑤地方志工作经费中心组理论学习次数：12次。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①主流媒体报道党建活动次数：5次；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②社会主义核心价值观宣传辖区覆盖率：100%；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1.业务管理情况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上级文件的精神和年初绩效目标开展党建活动，严格按照《中共武汉市组织部关于调查社区党员教育活动经费标准的涵》和《易家街内部控制手册》、通过制定相应的管理制度对项目质量控制、项目验收、项目基础资料等各个方面进行有效的管理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2.财务管理情况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①预算安排、资金到位及实际执行情况</w:t>
      </w:r>
    </w:p>
    <w:p>
      <w:pPr>
        <w:spacing w:before="120" w:after="120" w:line="360" w:lineRule="auto"/>
        <w:ind w:firstLine="560" w:firstLineChars="200"/>
        <w:outlineLvl w:val="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项目年初预算</w:t>
      </w:r>
      <w:r>
        <w:rPr>
          <w:rFonts w:ascii="Times New Roman" w:hAnsi="Times New Roman" w:eastAsia="仿宋_GB2312"/>
          <w:sz w:val="28"/>
          <w:szCs w:val="28"/>
        </w:rPr>
        <w:t>560,800.00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元、调整后预算为</w:t>
      </w:r>
      <w:r>
        <w:rPr>
          <w:rFonts w:ascii="Times New Roman" w:hAnsi="Times New Roman" w:eastAsia="仿宋_GB2312"/>
          <w:sz w:val="28"/>
          <w:szCs w:val="28"/>
        </w:rPr>
        <w:t>581,389.00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元、到位资金581,389.00元、实际支出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49</w:t>
      </w:r>
      <w:r>
        <w:rPr>
          <w:rFonts w:ascii="Times New Roman" w:hAnsi="Times New Roman" w:eastAsia="仿宋_GB2312" w:cs="仿宋_GB2312"/>
          <w:sz w:val="28"/>
          <w:szCs w:val="28"/>
        </w:rPr>
        <w:t>2,493.37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元，预算执行率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84.71</w:t>
      </w:r>
      <w:r>
        <w:rPr>
          <w:rFonts w:ascii="Times New Roman" w:hAnsi="Times New Roman" w:eastAsia="仿宋_GB2312" w:cs="仿宋_GB2312"/>
          <w:sz w:val="28"/>
          <w:szCs w:val="28"/>
        </w:rPr>
        <w:t>%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。具体情况请见下表（单位：元）：</w:t>
      </w:r>
    </w:p>
    <w:p>
      <w:pPr>
        <w:spacing w:before="120" w:after="120" w:line="360" w:lineRule="auto"/>
        <w:ind w:firstLine="480" w:firstLineChars="200"/>
        <w:jc w:val="center"/>
        <w:outlineLvl w:val="2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基层党建综合事务项目预算执行情况表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112"/>
        <w:gridCol w:w="1248"/>
        <w:gridCol w:w="1464"/>
        <w:gridCol w:w="1665"/>
        <w:gridCol w:w="13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调整后预算数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实际执行数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99,500.00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99,500.00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48,900.00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48,900.00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160.00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其他交通费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56,899.48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11,200.00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26,989.00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其他对个人和家庭补助支出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4,800.00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9,600.00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17,800.00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114,300.00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114,300.00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23,602.50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物业管理费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320，000.00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87,100.00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87,100.00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19,370.00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1,185.65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10,900.00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40,943.00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832.74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560,800.00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581,389.00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2,493.37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84.71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②实际与预算差异的原因</w:t>
      </w:r>
    </w:p>
    <w:p>
      <w:pPr>
        <w:spacing w:before="120" w:after="120" w:line="360" w:lineRule="auto"/>
        <w:ind w:firstLine="560" w:firstLineChars="200"/>
        <w:outlineLvl w:val="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项目预算为</w:t>
      </w:r>
      <w:r>
        <w:rPr>
          <w:rFonts w:ascii="Times New Roman" w:hAnsi="Times New Roman" w:eastAsia="仿宋_GB2312"/>
          <w:sz w:val="28"/>
          <w:szCs w:val="28"/>
        </w:rPr>
        <w:t>581,389.00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元，实际支出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49</w:t>
      </w:r>
      <w:r>
        <w:rPr>
          <w:rFonts w:ascii="Times New Roman" w:hAnsi="Times New Roman" w:eastAsia="仿宋_GB2312" w:cs="仿宋_GB2312"/>
          <w:sz w:val="28"/>
          <w:szCs w:val="28"/>
        </w:rPr>
        <w:t>2,493.37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元，相差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_GB2312" w:cs="仿宋_GB2312"/>
          <w:sz w:val="28"/>
          <w:szCs w:val="28"/>
        </w:rPr>
        <w:t>8,895.63元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</w:t>
      </w:r>
      <w:r>
        <w:rPr>
          <w:rFonts w:ascii="Times New Roman" w:hAnsi="Times New Roman" w:eastAsia="仿宋_GB2312" w:cs="仿宋_GB2312"/>
          <w:sz w:val="28"/>
          <w:szCs w:val="28"/>
        </w:rPr>
        <w:t>主要原因是预算中的</w:t>
      </w:r>
      <w:r>
        <w:rPr>
          <w:rFonts w:hint="eastAsia" w:ascii="Times New Roman" w:hAnsi="Times New Roman" w:eastAsia="仿宋_GB2312" w:cs="仿宋_GB2312"/>
          <w:sz w:val="28"/>
          <w:szCs w:val="28"/>
        </w:rPr>
        <w:t>维修（护）费、会议费、大型修缮等项目未得到执行、印刷费执行率较低。</w:t>
      </w:r>
    </w:p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(二)项目预算绩效目标的完成情况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①党建指导员会议次数年度目标值10次、实际值12次；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②检查基层党组织党建资料次数年度目标值5次、实际值6次；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③党员志愿者服务队开展志愿服务场次年度目标值50场、实际值60场；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④新建社区党组织建设年度目标值1个、实际值1个；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⑤地方志工作经费中心组理论学习次数年度目标值12次、实际值10次。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①主流媒体报道党建活动次数年度目标值5次、实际值6次；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②社会主义核心价值观宣传辖区覆盖率年度目标值100%、实际值</w:t>
      </w:r>
      <w:r>
        <w:rPr>
          <w:rFonts w:ascii="仿宋_GB2312" w:eastAsia="仿宋_GB2312"/>
          <w:sz w:val="30"/>
          <w:szCs w:val="30"/>
        </w:rPr>
        <w:t>100%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1.自评得分：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96.94</w:t>
      </w:r>
      <w:r>
        <w:rPr>
          <w:rFonts w:hint="eastAsia" w:ascii="仿宋_GB2312" w:eastAsia="仿宋_GB2312"/>
          <w:sz w:val="30"/>
          <w:szCs w:val="30"/>
        </w:rPr>
        <w:t>分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2.综合评价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体来看，2018年项目绩效目标完成情况较好，项目符合国家政策，立项规范，绩效目标基本合理，实施、管理规范有序，产出、效益良好。但预算绩效管理的基础工作、内部控制制度建设等方面有待进一步规范和加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(二)主要经验，存在的问题和改进措施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1.主要经验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全面夯实基层党建基础，打造基层党建特色亮点；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落实意识形态主体责任，有效推进中心组学习；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3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③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持之以恒推进文明创建，有效形成常态化制度化。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2.存在的问题及改进措施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①宜家商圈非公党建还需进一步突出亮点特色。宜家商圈的联合党组织虽然已经成立，但是作用发挥还不明显，还需要进一步在党建阵地的打造上细致谋划，加快推进。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办事处目前已于宜家荟聚打成初步意向，打造130平米的宜家商圈非公党建阵地，目前还在前期设计阶段，街党建办要抓住机遇，加快推进阵地建设落实落地，同时要同步谋划宜家商圈非公党建的活动开展和宣传推广，力争在2019年取得实质性突破性进展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②拆迁社区流动党员教育管理还需进一步做细做实。我街面临大范围的拆迁改造，大量党员外流，社区党建活动党员参与率低，还需要进一步研究措施办法加强流动党员教育管理。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完成各社区、村党组织班子换届工作，下一年度，街党建办将积极组织开展新任党组织班子成员教育培训工作，切实加强基层党务工作者的业务能力，做实做细党建培训计划，按照全年不少于3天的标准把培训教育工作落实落地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3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③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善，对项目执行过程的控制、监督有效约束不够，对项目效果认识与宣传力度不足，相关工作档案存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在不完整等问题。 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理水平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 w:cs="宋体"/>
          <w:kern w:val="0"/>
          <w:sz w:val="30"/>
          <w:szCs w:val="30"/>
        </w:rPr>
        <w:t>2018年度项目绩效自评表（附后）</w:t>
      </w:r>
    </w:p>
    <w:p>
      <w:pPr>
        <w:adjustRightInd w:val="0"/>
        <w:snapToGrid w:val="0"/>
        <w:spacing w:line="580" w:lineRule="atLeast"/>
        <w:ind w:firstLine="560" w:firstLineChars="200"/>
        <w:jc w:val="left"/>
      </w:pPr>
      <w:r>
        <w:rPr>
          <w:rFonts w:ascii="黑体" w:hAnsi="黑体" w:eastAsia="黑体"/>
          <w:sz w:val="28"/>
          <w:szCs w:val="28"/>
        </w:rPr>
        <w:br w:type="page"/>
      </w:r>
    </w:p>
    <w:tbl>
      <w:tblPr>
        <w:tblStyle w:val="6"/>
        <w:tblW w:w="884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93"/>
        <w:gridCol w:w="1445"/>
        <w:gridCol w:w="1301"/>
        <w:gridCol w:w="672"/>
        <w:gridCol w:w="1169"/>
        <w:gridCol w:w="555"/>
        <w:gridCol w:w="817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2018年度基层党建综合事务经费项目绩效自评表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填报日期：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96.94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基层党建综合事务经费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23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街道党建办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1、部门预算项目  √   2、专项资金 □   3、上级转移支付项目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1、持续性项目    √   2、新增性项目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1、常年性项目    □   2、延续性项目 √     3、一次续性项目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预算数（A)</w:t>
            </w:r>
          </w:p>
        </w:tc>
        <w:tc>
          <w:tcPr>
            <w:tcW w:w="1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执行数(B)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执行率(B/A)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得分（20分*执行率）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58.14</w:t>
            </w:r>
          </w:p>
        </w:tc>
        <w:tc>
          <w:tcPr>
            <w:tcW w:w="1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.25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84.71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16.94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党建指导员会议次数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检查基层党组织党建资料次数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党员志愿者服务队开展志愿服务场次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新建社区党组织建设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中心组理论学习次数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主流媒体报道党建活动次数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社会主义核心价值观宣传辖区覆盖率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41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A4FF5"/>
    <w:rsid w:val="000F43B6"/>
    <w:rsid w:val="00100427"/>
    <w:rsid w:val="00183437"/>
    <w:rsid w:val="001C0248"/>
    <w:rsid w:val="001D4DCF"/>
    <w:rsid w:val="001F23E0"/>
    <w:rsid w:val="0022048E"/>
    <w:rsid w:val="0029307D"/>
    <w:rsid w:val="002937D8"/>
    <w:rsid w:val="002D7E04"/>
    <w:rsid w:val="00364A30"/>
    <w:rsid w:val="00385F19"/>
    <w:rsid w:val="0051574A"/>
    <w:rsid w:val="00540C78"/>
    <w:rsid w:val="00557226"/>
    <w:rsid w:val="006204F3"/>
    <w:rsid w:val="006A0AD9"/>
    <w:rsid w:val="006B452B"/>
    <w:rsid w:val="00734CC0"/>
    <w:rsid w:val="00766A0D"/>
    <w:rsid w:val="007F7D66"/>
    <w:rsid w:val="00834C39"/>
    <w:rsid w:val="00886C4C"/>
    <w:rsid w:val="008C4294"/>
    <w:rsid w:val="008F2755"/>
    <w:rsid w:val="00964D1C"/>
    <w:rsid w:val="009F65AA"/>
    <w:rsid w:val="00A06850"/>
    <w:rsid w:val="00A97BA4"/>
    <w:rsid w:val="00AA25D3"/>
    <w:rsid w:val="00AD2EEB"/>
    <w:rsid w:val="00B215C2"/>
    <w:rsid w:val="00B40288"/>
    <w:rsid w:val="00BE4BEA"/>
    <w:rsid w:val="00BF625E"/>
    <w:rsid w:val="00BF64AA"/>
    <w:rsid w:val="00D565C3"/>
    <w:rsid w:val="00DA321E"/>
    <w:rsid w:val="00DD71EA"/>
    <w:rsid w:val="00E6724C"/>
    <w:rsid w:val="00EA0FF9"/>
    <w:rsid w:val="00ED0373"/>
    <w:rsid w:val="00EE11C6"/>
    <w:rsid w:val="00F52052"/>
    <w:rsid w:val="384E79A7"/>
    <w:rsid w:val="40C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标题 3 Char"/>
    <w:basedOn w:val="7"/>
    <w:link w:val="3"/>
    <w:semiHidden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2BD4B-C873-4F83-AC80-CACF46482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8</Pages>
  <Words>630</Words>
  <Characters>3592</Characters>
  <Lines>29</Lines>
  <Paragraphs>8</Paragraphs>
  <TotalTime>158</TotalTime>
  <ScaleCrop>false</ScaleCrop>
  <LinksUpToDate>false</LinksUpToDate>
  <CharactersWithSpaces>4214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月色难删</cp:lastModifiedBy>
  <dcterms:modified xsi:type="dcterms:W3CDTF">2019-10-17T02:00:44Z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