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579FB">
      <w:pPr>
        <w:snapToGrid w:val="0"/>
        <w:spacing w:line="560" w:lineRule="atLeast"/>
        <w:ind w:firstLine="480"/>
        <w:rPr>
          <w:szCs w:val="32"/>
        </w:rPr>
      </w:pPr>
      <w:r>
        <w:rPr>
          <w:rFonts w:hint="eastAsia"/>
          <w:szCs w:val="32"/>
        </w:rPr>
        <w:tab/>
      </w:r>
    </w:p>
    <w:p w14:paraId="2C4AAE5D">
      <w:pPr>
        <w:snapToGrid w:val="0"/>
        <w:spacing w:line="560" w:lineRule="atLeast"/>
        <w:ind w:firstLine="480"/>
        <w:rPr>
          <w:szCs w:val="32"/>
        </w:rPr>
      </w:pPr>
    </w:p>
    <w:p w14:paraId="6C9FF115">
      <w:pPr>
        <w:snapToGrid w:val="0"/>
        <w:spacing w:line="560" w:lineRule="atLeast"/>
        <w:ind w:firstLine="480"/>
        <w:rPr>
          <w:szCs w:val="32"/>
        </w:rPr>
      </w:pPr>
    </w:p>
    <w:p w14:paraId="7F6E09E7">
      <w:pPr>
        <w:snapToGrid w:val="0"/>
        <w:spacing w:line="560" w:lineRule="atLeast"/>
        <w:ind w:firstLine="934"/>
        <w:jc w:val="center"/>
        <w:rPr>
          <w:rFonts w:ascii="创艺简标宋" w:eastAsia="创艺简标宋"/>
          <w:w w:val="90"/>
          <w:kern w:val="44"/>
          <w:sz w:val="52"/>
          <w:szCs w:val="52"/>
        </w:rPr>
      </w:pPr>
      <w:r>
        <w:rPr>
          <w:rFonts w:hint="eastAsia" w:ascii="创艺简标宋" w:eastAsia="创艺简标宋"/>
          <w:w w:val="90"/>
          <w:kern w:val="44"/>
          <w:sz w:val="52"/>
          <w:szCs w:val="52"/>
        </w:rPr>
        <w:t>2018年度排水管网维护保养与管理</w:t>
      </w:r>
      <w:r>
        <w:rPr>
          <w:rFonts w:ascii="创艺简标宋" w:eastAsia="创艺简标宋"/>
          <w:w w:val="90"/>
          <w:kern w:val="44"/>
          <w:sz w:val="52"/>
          <w:szCs w:val="52"/>
        </w:rPr>
        <w:t>项目绩效自评报告</w:t>
      </w:r>
    </w:p>
    <w:p w14:paraId="1E3FF614">
      <w:pPr>
        <w:snapToGrid w:val="0"/>
        <w:spacing w:line="600" w:lineRule="atLeast"/>
        <w:ind w:right="24" w:firstLine="934"/>
        <w:jc w:val="left"/>
        <w:rPr>
          <w:rFonts w:ascii="创艺简标宋" w:eastAsia="创艺简标宋"/>
          <w:w w:val="90"/>
          <w:kern w:val="44"/>
          <w:sz w:val="52"/>
          <w:szCs w:val="52"/>
        </w:rPr>
      </w:pPr>
    </w:p>
    <w:p w14:paraId="4D51A253">
      <w:pPr>
        <w:snapToGrid w:val="0"/>
        <w:spacing w:line="600" w:lineRule="atLeast"/>
        <w:ind w:right="24" w:firstLine="480"/>
        <w:jc w:val="left"/>
        <w:rPr>
          <w:rFonts w:ascii="仿宋_GB2312" w:eastAsia="仿宋_GB2312"/>
          <w:szCs w:val="32"/>
        </w:rPr>
      </w:pPr>
    </w:p>
    <w:p w14:paraId="7E93D0FF">
      <w:pPr>
        <w:ind w:firstLine="482"/>
        <w:rPr>
          <w:rFonts w:ascii="仿宋_GB2312"/>
          <w:b/>
          <w:szCs w:val="32"/>
          <w:highlight w:val="lightGray"/>
        </w:rPr>
      </w:pPr>
    </w:p>
    <w:p w14:paraId="1AEE3821">
      <w:pPr>
        <w:ind w:firstLine="482"/>
        <w:rPr>
          <w:rFonts w:ascii="仿宋_GB2312"/>
          <w:b/>
          <w:szCs w:val="32"/>
          <w:highlight w:val="lightGray"/>
        </w:rPr>
      </w:pPr>
    </w:p>
    <w:p w14:paraId="13CD3185">
      <w:pPr>
        <w:ind w:firstLine="482"/>
        <w:rPr>
          <w:rFonts w:ascii="仿宋_GB2312"/>
          <w:b/>
          <w:szCs w:val="32"/>
          <w:highlight w:val="lightGray"/>
        </w:rPr>
      </w:pPr>
    </w:p>
    <w:p w14:paraId="32483769">
      <w:pPr>
        <w:ind w:firstLine="482"/>
        <w:rPr>
          <w:rFonts w:ascii="仿宋_GB2312"/>
          <w:b/>
          <w:szCs w:val="32"/>
        </w:rPr>
      </w:pPr>
    </w:p>
    <w:tbl>
      <w:tblPr>
        <w:tblStyle w:val="20"/>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96"/>
      </w:tblGrid>
      <w:tr w14:paraId="62A11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3BF8032F">
            <w:pPr>
              <w:spacing w:line="580" w:lineRule="exact"/>
              <w:ind w:left="1520" w:leftChars="100" w:hanging="1280" w:hangingChars="400"/>
              <w:jc w:val="left"/>
              <w:rPr>
                <w:rFonts w:ascii="黑体" w:eastAsia="黑体" w:cs="Times New Roman"/>
                <w:bCs/>
                <w:sz w:val="32"/>
                <w:szCs w:val="32"/>
              </w:rPr>
            </w:pPr>
            <w:r>
              <w:rPr>
                <w:rFonts w:hint="eastAsia" w:ascii="黑体" w:eastAsia="黑体" w:cs="Times New Roman"/>
                <w:bCs/>
                <w:sz w:val="32"/>
                <w:szCs w:val="32"/>
              </w:rPr>
              <w:t>项目名称：</w:t>
            </w:r>
            <w:r>
              <w:rPr>
                <w:rFonts w:hint="eastAsia" w:ascii="黑体" w:eastAsia="黑体" w:cs="Times New Roman"/>
                <w:bCs/>
                <w:sz w:val="32"/>
                <w:szCs w:val="32"/>
                <w:u w:val="single"/>
              </w:rPr>
              <w:t>排水管网维护保养与管理</w:t>
            </w:r>
          </w:p>
        </w:tc>
      </w:tr>
      <w:tr w14:paraId="4598B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6603B359">
            <w:pPr>
              <w:spacing w:line="580" w:lineRule="exact"/>
              <w:ind w:left="1520" w:leftChars="100" w:hanging="1280" w:hangingChars="400"/>
              <w:jc w:val="left"/>
              <w:rPr>
                <w:rFonts w:ascii="黑体" w:eastAsia="黑体" w:cs="Times New Roman"/>
                <w:bCs/>
                <w:sz w:val="32"/>
                <w:szCs w:val="32"/>
              </w:rPr>
            </w:pPr>
            <w:r>
              <w:rPr>
                <w:rFonts w:hint="eastAsia" w:ascii="黑体" w:eastAsia="黑体" w:cs="Times New Roman"/>
                <w:bCs/>
                <w:sz w:val="32"/>
                <w:szCs w:val="32"/>
              </w:rPr>
              <w:t>项目单位：</w:t>
            </w:r>
            <w:r>
              <w:rPr>
                <w:rFonts w:hint="eastAsia" w:ascii="黑体" w:eastAsia="黑体" w:cs="Times New Roman"/>
                <w:bCs/>
                <w:sz w:val="32"/>
                <w:szCs w:val="32"/>
                <w:u w:val="single"/>
              </w:rPr>
              <w:t>武汉市硚口区市政排水设施维修队</w:t>
            </w:r>
          </w:p>
          <w:p w14:paraId="517D4604">
            <w:pPr>
              <w:spacing w:line="580" w:lineRule="exact"/>
              <w:ind w:left="1520" w:leftChars="100" w:hanging="1280" w:hangingChars="400"/>
              <w:jc w:val="left"/>
              <w:rPr>
                <w:rFonts w:ascii="黑体" w:eastAsia="黑体" w:cs="Times New Roman"/>
                <w:bCs/>
                <w:sz w:val="32"/>
                <w:szCs w:val="32"/>
              </w:rPr>
            </w:pPr>
            <w:r>
              <w:rPr>
                <w:rFonts w:hint="eastAsia" w:ascii="黑体" w:eastAsia="黑体" w:cs="Times New Roman"/>
                <w:bCs/>
                <w:color w:val="auto"/>
                <w:sz w:val="32"/>
                <w:szCs w:val="32"/>
              </w:rPr>
              <w:t>主管部门：</w:t>
            </w:r>
            <w:r>
              <w:rPr>
                <w:rFonts w:hint="eastAsia" w:ascii="黑体" w:eastAsia="黑体" w:cs="Times New Roman"/>
                <w:bCs/>
                <w:color w:val="auto"/>
                <w:sz w:val="32"/>
                <w:szCs w:val="32"/>
                <w:u w:val="single"/>
              </w:rPr>
              <w:t>武汉市硚口区水务和湖泊局</w:t>
            </w:r>
          </w:p>
        </w:tc>
      </w:tr>
      <w:tr w14:paraId="04521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246EA8CC">
            <w:pPr>
              <w:spacing w:line="580" w:lineRule="exact"/>
              <w:ind w:left="1520" w:leftChars="100" w:hanging="1280" w:hangingChars="400"/>
              <w:jc w:val="left"/>
              <w:rPr>
                <w:rFonts w:ascii="黑体" w:eastAsia="黑体" w:cs="Times New Roman"/>
                <w:bCs/>
                <w:sz w:val="32"/>
                <w:szCs w:val="32"/>
              </w:rPr>
            </w:pPr>
            <w:r>
              <w:rPr>
                <w:rFonts w:hint="eastAsia" w:ascii="黑体" w:eastAsia="黑体" w:cs="Times New Roman"/>
                <w:bCs/>
                <w:sz w:val="32"/>
                <w:szCs w:val="32"/>
              </w:rPr>
              <w:t>区财政局主管业务科室：</w:t>
            </w:r>
            <w:r>
              <w:rPr>
                <w:rFonts w:hint="eastAsia" w:ascii="黑体" w:eastAsia="黑体" w:cs="Times New Roman"/>
                <w:bCs/>
                <w:sz w:val="32"/>
                <w:szCs w:val="32"/>
                <w:u w:val="single"/>
              </w:rPr>
              <w:t>硚口区财政局经建科</w:t>
            </w:r>
          </w:p>
        </w:tc>
      </w:tr>
      <w:tr w14:paraId="4BAF3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296" w:type="dxa"/>
          </w:tcPr>
          <w:p w14:paraId="31571666">
            <w:pPr>
              <w:spacing w:line="580" w:lineRule="exact"/>
              <w:ind w:left="1520" w:leftChars="100" w:hanging="1280" w:hangingChars="400"/>
              <w:jc w:val="left"/>
              <w:rPr>
                <w:rFonts w:ascii="黑体" w:eastAsia="黑体" w:cs="Times New Roman" w:hAnsiTheme="minorHAnsi"/>
                <w:bCs/>
                <w:sz w:val="32"/>
                <w:szCs w:val="32"/>
              </w:rPr>
            </w:pPr>
            <w:r>
              <w:rPr>
                <w:rFonts w:hint="eastAsia" w:ascii="黑体" w:eastAsia="黑体" w:cs="Times New Roman" w:hAnsiTheme="minorHAnsi"/>
                <w:bCs/>
                <w:sz w:val="32"/>
                <w:szCs w:val="32"/>
              </w:rPr>
              <w:t>评价机构：</w:t>
            </w:r>
            <w:r>
              <w:rPr>
                <w:rFonts w:hint="eastAsia" w:ascii="黑体" w:eastAsia="黑体" w:cs="Times New Roman"/>
                <w:bCs/>
                <w:sz w:val="32"/>
                <w:szCs w:val="32"/>
                <w:u w:val="single"/>
              </w:rPr>
              <w:t>湖北诚康未来会计师事务有限公司</w:t>
            </w:r>
          </w:p>
        </w:tc>
      </w:tr>
    </w:tbl>
    <w:p w14:paraId="10AE4DCA">
      <w:pPr>
        <w:ind w:firstLine="480"/>
        <w:rPr>
          <w:rFonts w:ascii="仿宋_GB2312"/>
          <w:bCs/>
          <w:szCs w:val="32"/>
          <w:highlight w:val="lightGray"/>
        </w:rPr>
      </w:pPr>
    </w:p>
    <w:p w14:paraId="16FBC108">
      <w:pPr>
        <w:ind w:firstLine="480"/>
        <w:rPr>
          <w:rFonts w:ascii="仿宋_GB2312"/>
          <w:bCs/>
          <w:szCs w:val="32"/>
          <w:highlight w:val="lightGray"/>
        </w:rPr>
      </w:pPr>
    </w:p>
    <w:p w14:paraId="345E7CE7">
      <w:pPr>
        <w:ind w:firstLine="480"/>
        <w:rPr>
          <w:rFonts w:ascii="仿宋_GB2312"/>
          <w:bCs/>
          <w:szCs w:val="32"/>
          <w:highlight w:val="lightGray"/>
        </w:rPr>
      </w:pPr>
    </w:p>
    <w:p w14:paraId="3B154D6F">
      <w:pPr>
        <w:ind w:firstLine="480"/>
        <w:jc w:val="center"/>
        <w:rPr>
          <w:rFonts w:ascii="黑体" w:hAnsi="黑体" w:eastAsia="黑体"/>
          <w:bCs/>
          <w:szCs w:val="32"/>
        </w:rPr>
      </w:pPr>
    </w:p>
    <w:p w14:paraId="2108CF5B">
      <w:pPr>
        <w:ind w:firstLine="480"/>
        <w:jc w:val="center"/>
        <w:rPr>
          <w:rFonts w:ascii="黑体" w:hAnsi="黑体" w:eastAsia="黑体"/>
          <w:bCs/>
          <w:szCs w:val="32"/>
        </w:rPr>
      </w:pPr>
    </w:p>
    <w:p w14:paraId="60C15EEA">
      <w:pPr>
        <w:ind w:firstLine="640"/>
        <w:jc w:val="center"/>
        <w:rPr>
          <w:rFonts w:ascii="仿宋_GB2312"/>
          <w:bCs/>
          <w:sz w:val="32"/>
          <w:szCs w:val="32"/>
          <w:highlight w:val="yellow"/>
        </w:rPr>
      </w:pPr>
      <w:r>
        <w:rPr>
          <w:rFonts w:hint="eastAsia" w:ascii="黑体" w:eastAsia="黑体"/>
          <w:bCs/>
          <w:sz w:val="32"/>
          <w:szCs w:val="32"/>
        </w:rPr>
        <w:t xml:space="preserve">  201</w:t>
      </w:r>
      <w:r>
        <w:rPr>
          <w:rFonts w:ascii="黑体" w:eastAsia="黑体"/>
          <w:bCs/>
          <w:sz w:val="32"/>
          <w:szCs w:val="32"/>
        </w:rPr>
        <w:t>9</w:t>
      </w:r>
      <w:r>
        <w:rPr>
          <w:rFonts w:hint="eastAsia" w:ascii="黑体" w:eastAsia="黑体"/>
          <w:bCs/>
          <w:sz w:val="32"/>
          <w:szCs w:val="32"/>
        </w:rPr>
        <w:t>年7月</w:t>
      </w:r>
    </w:p>
    <w:p w14:paraId="0C1B027A">
      <w:pPr>
        <w:spacing w:line="560" w:lineRule="atLeast"/>
        <w:ind w:firstLine="480"/>
      </w:pPr>
    </w:p>
    <w:p w14:paraId="026FBA9E">
      <w:pPr>
        <w:widowControl/>
        <w:spacing w:line="240" w:lineRule="auto"/>
        <w:ind w:firstLine="0" w:firstLineChars="0"/>
        <w:jc w:val="left"/>
      </w:pPr>
      <w:r>
        <w:br w:type="page"/>
      </w:r>
    </w:p>
    <w:sdt>
      <w:sdtPr>
        <w:rPr>
          <w:lang w:val="zh-CN"/>
        </w:rPr>
        <w:id w:val="1135988844"/>
        <w:docPartObj>
          <w:docPartGallery w:val="Table of Contents"/>
          <w:docPartUnique/>
        </w:docPartObj>
      </w:sdtPr>
      <w:sdtEndPr>
        <w:rPr>
          <w:b/>
          <w:bCs/>
          <w:szCs w:val="24"/>
          <w:lang w:val="zh-CN"/>
        </w:rPr>
      </w:sdtEndPr>
      <w:sdtContent>
        <w:p w14:paraId="633FF23E">
          <w:pPr>
            <w:widowControl/>
            <w:spacing w:line="440" w:lineRule="exact"/>
            <w:ind w:firstLine="0" w:firstLineChars="0"/>
            <w:jc w:val="center"/>
            <w:rPr>
              <w:b/>
              <w:bCs/>
              <w:szCs w:val="24"/>
            </w:rPr>
          </w:pPr>
          <w:r>
            <w:rPr>
              <w:b/>
              <w:bCs/>
              <w:szCs w:val="24"/>
              <w:lang w:val="zh-CN"/>
            </w:rPr>
            <w:t>目录</w:t>
          </w:r>
        </w:p>
        <w:p w14:paraId="0D409C8F">
          <w:pPr>
            <w:pStyle w:val="13"/>
            <w:tabs>
              <w:tab w:val="right" w:leader="dot" w:pos="8296"/>
            </w:tabs>
            <w:ind w:firstLine="482"/>
            <w:rPr>
              <w:rFonts w:cstheme="minorBidi"/>
              <w:b w:val="0"/>
              <w:bCs w:val="0"/>
              <w:caps w:val="0"/>
              <w:sz w:val="24"/>
              <w:szCs w:val="24"/>
            </w:rPr>
          </w:pPr>
          <w:r>
            <w:rPr>
              <w:sz w:val="24"/>
              <w:szCs w:val="24"/>
            </w:rPr>
            <w:fldChar w:fldCharType="begin"/>
          </w:r>
          <w:r>
            <w:rPr>
              <w:sz w:val="24"/>
              <w:szCs w:val="24"/>
            </w:rPr>
            <w:instrText xml:space="preserve"> TOC \o "1-3" \h \z \u </w:instrText>
          </w:r>
          <w:r>
            <w:rPr>
              <w:sz w:val="24"/>
              <w:szCs w:val="24"/>
            </w:rPr>
            <w:fldChar w:fldCharType="separate"/>
          </w:r>
          <w:r>
            <w:fldChar w:fldCharType="begin"/>
          </w:r>
          <w:r>
            <w:instrText xml:space="preserve"> HYPERLINK \l "_Toc13645266" </w:instrText>
          </w:r>
          <w:r>
            <w:fldChar w:fldCharType="separate"/>
          </w:r>
          <w:r>
            <w:rPr>
              <w:rStyle w:val="22"/>
              <w:sz w:val="24"/>
              <w:szCs w:val="24"/>
            </w:rPr>
            <w:t>一、项目基本情况</w:t>
          </w:r>
          <w:r>
            <w:rPr>
              <w:sz w:val="24"/>
              <w:szCs w:val="24"/>
            </w:rPr>
            <w:tab/>
          </w:r>
          <w:r>
            <w:rPr>
              <w:sz w:val="24"/>
              <w:szCs w:val="24"/>
            </w:rPr>
            <w:fldChar w:fldCharType="begin"/>
          </w:r>
          <w:r>
            <w:rPr>
              <w:sz w:val="24"/>
              <w:szCs w:val="24"/>
            </w:rPr>
            <w:instrText xml:space="preserve"> PAGEREF _Toc13645266 \h </w:instrText>
          </w:r>
          <w:r>
            <w:rPr>
              <w:sz w:val="24"/>
              <w:szCs w:val="24"/>
            </w:rPr>
            <w:fldChar w:fldCharType="separate"/>
          </w:r>
          <w:r>
            <w:rPr>
              <w:sz w:val="24"/>
              <w:szCs w:val="24"/>
            </w:rPr>
            <w:t>1</w:t>
          </w:r>
          <w:r>
            <w:rPr>
              <w:sz w:val="24"/>
              <w:szCs w:val="24"/>
            </w:rPr>
            <w:fldChar w:fldCharType="end"/>
          </w:r>
          <w:r>
            <w:rPr>
              <w:sz w:val="24"/>
              <w:szCs w:val="24"/>
            </w:rPr>
            <w:fldChar w:fldCharType="end"/>
          </w:r>
        </w:p>
        <w:p w14:paraId="6EF47046">
          <w:pPr>
            <w:pStyle w:val="16"/>
            <w:tabs>
              <w:tab w:val="right" w:leader="dot" w:pos="8296"/>
            </w:tabs>
            <w:ind w:firstLine="400"/>
            <w:rPr>
              <w:rFonts w:cstheme="minorBidi"/>
              <w:smallCaps w:val="0"/>
              <w:sz w:val="24"/>
              <w:szCs w:val="24"/>
            </w:rPr>
          </w:pPr>
          <w:r>
            <w:fldChar w:fldCharType="begin"/>
          </w:r>
          <w:r>
            <w:instrText xml:space="preserve"> HYPERLINK \l "_Toc13645267" </w:instrText>
          </w:r>
          <w:r>
            <w:fldChar w:fldCharType="separate"/>
          </w:r>
          <w:r>
            <w:rPr>
              <w:rStyle w:val="22"/>
              <w:sz w:val="24"/>
              <w:szCs w:val="24"/>
            </w:rPr>
            <w:t>（一）项目概况</w:t>
          </w:r>
          <w:r>
            <w:rPr>
              <w:sz w:val="24"/>
              <w:szCs w:val="24"/>
            </w:rPr>
            <w:tab/>
          </w:r>
          <w:r>
            <w:rPr>
              <w:sz w:val="24"/>
              <w:szCs w:val="24"/>
            </w:rPr>
            <w:fldChar w:fldCharType="begin"/>
          </w:r>
          <w:r>
            <w:rPr>
              <w:sz w:val="24"/>
              <w:szCs w:val="24"/>
            </w:rPr>
            <w:instrText xml:space="preserve"> PAGEREF _Toc13645267 \h </w:instrText>
          </w:r>
          <w:r>
            <w:rPr>
              <w:sz w:val="24"/>
              <w:szCs w:val="24"/>
            </w:rPr>
            <w:fldChar w:fldCharType="separate"/>
          </w:r>
          <w:r>
            <w:rPr>
              <w:sz w:val="24"/>
              <w:szCs w:val="24"/>
            </w:rPr>
            <w:t>1</w:t>
          </w:r>
          <w:r>
            <w:rPr>
              <w:sz w:val="24"/>
              <w:szCs w:val="24"/>
            </w:rPr>
            <w:fldChar w:fldCharType="end"/>
          </w:r>
          <w:r>
            <w:rPr>
              <w:sz w:val="24"/>
              <w:szCs w:val="24"/>
            </w:rPr>
            <w:fldChar w:fldCharType="end"/>
          </w:r>
        </w:p>
        <w:p w14:paraId="3EF2C26C">
          <w:pPr>
            <w:pStyle w:val="7"/>
            <w:tabs>
              <w:tab w:val="right" w:leader="dot" w:pos="8296"/>
            </w:tabs>
            <w:ind w:firstLine="400"/>
            <w:rPr>
              <w:rFonts w:cstheme="minorBidi"/>
              <w:i w:val="0"/>
              <w:iCs w:val="0"/>
              <w:sz w:val="24"/>
              <w:szCs w:val="24"/>
            </w:rPr>
          </w:pPr>
          <w:r>
            <w:fldChar w:fldCharType="begin"/>
          </w:r>
          <w:r>
            <w:instrText xml:space="preserve"> HYPERLINK \l "_Toc13645268" </w:instrText>
          </w:r>
          <w:r>
            <w:fldChar w:fldCharType="separate"/>
          </w:r>
          <w:r>
            <w:rPr>
              <w:rStyle w:val="22"/>
              <w:i w:val="0"/>
              <w:iCs w:val="0"/>
              <w:sz w:val="24"/>
              <w:szCs w:val="24"/>
            </w:rPr>
            <w:t>1、项目内容</w:t>
          </w:r>
          <w:r>
            <w:rPr>
              <w:i w:val="0"/>
              <w:iCs w:val="0"/>
              <w:sz w:val="24"/>
              <w:szCs w:val="24"/>
            </w:rPr>
            <w:tab/>
          </w:r>
          <w:r>
            <w:rPr>
              <w:i w:val="0"/>
              <w:iCs w:val="0"/>
              <w:sz w:val="24"/>
              <w:szCs w:val="24"/>
            </w:rPr>
            <w:fldChar w:fldCharType="begin"/>
          </w:r>
          <w:r>
            <w:rPr>
              <w:i w:val="0"/>
              <w:iCs w:val="0"/>
              <w:sz w:val="24"/>
              <w:szCs w:val="24"/>
            </w:rPr>
            <w:instrText xml:space="preserve"> PAGEREF _Toc13645268 \h </w:instrText>
          </w:r>
          <w:r>
            <w:rPr>
              <w:i w:val="0"/>
              <w:iCs w:val="0"/>
              <w:sz w:val="24"/>
              <w:szCs w:val="24"/>
            </w:rPr>
            <w:fldChar w:fldCharType="separate"/>
          </w:r>
          <w:r>
            <w:rPr>
              <w:i w:val="0"/>
              <w:iCs w:val="0"/>
              <w:sz w:val="24"/>
              <w:szCs w:val="24"/>
            </w:rPr>
            <w:t>1</w:t>
          </w:r>
          <w:r>
            <w:rPr>
              <w:i w:val="0"/>
              <w:iCs w:val="0"/>
              <w:sz w:val="24"/>
              <w:szCs w:val="24"/>
            </w:rPr>
            <w:fldChar w:fldCharType="end"/>
          </w:r>
          <w:r>
            <w:rPr>
              <w:i w:val="0"/>
              <w:iCs w:val="0"/>
              <w:sz w:val="24"/>
              <w:szCs w:val="24"/>
            </w:rPr>
            <w:fldChar w:fldCharType="end"/>
          </w:r>
        </w:p>
        <w:p w14:paraId="3164A6C4">
          <w:pPr>
            <w:pStyle w:val="7"/>
            <w:tabs>
              <w:tab w:val="right" w:leader="dot" w:pos="8296"/>
            </w:tabs>
            <w:ind w:firstLine="400"/>
            <w:rPr>
              <w:rFonts w:cstheme="minorBidi"/>
              <w:i w:val="0"/>
              <w:iCs w:val="0"/>
              <w:sz w:val="24"/>
              <w:szCs w:val="24"/>
            </w:rPr>
          </w:pPr>
          <w:r>
            <w:fldChar w:fldCharType="begin"/>
          </w:r>
          <w:r>
            <w:instrText xml:space="preserve"> HYPERLINK \l "_Toc13645269" </w:instrText>
          </w:r>
          <w:r>
            <w:fldChar w:fldCharType="separate"/>
          </w:r>
          <w:r>
            <w:rPr>
              <w:rStyle w:val="22"/>
              <w:i w:val="0"/>
              <w:iCs w:val="0"/>
              <w:sz w:val="24"/>
              <w:szCs w:val="24"/>
            </w:rPr>
            <w:t>2、项目完成概况</w:t>
          </w:r>
          <w:r>
            <w:rPr>
              <w:i w:val="0"/>
              <w:iCs w:val="0"/>
              <w:sz w:val="24"/>
              <w:szCs w:val="24"/>
            </w:rPr>
            <w:tab/>
          </w:r>
          <w:r>
            <w:rPr>
              <w:i w:val="0"/>
              <w:iCs w:val="0"/>
              <w:sz w:val="24"/>
              <w:szCs w:val="24"/>
            </w:rPr>
            <w:fldChar w:fldCharType="begin"/>
          </w:r>
          <w:r>
            <w:rPr>
              <w:i w:val="0"/>
              <w:iCs w:val="0"/>
              <w:sz w:val="24"/>
              <w:szCs w:val="24"/>
            </w:rPr>
            <w:instrText xml:space="preserve"> PAGEREF _Toc13645269 \h </w:instrText>
          </w:r>
          <w:r>
            <w:rPr>
              <w:i w:val="0"/>
              <w:iCs w:val="0"/>
              <w:sz w:val="24"/>
              <w:szCs w:val="24"/>
            </w:rPr>
            <w:fldChar w:fldCharType="separate"/>
          </w:r>
          <w:r>
            <w:rPr>
              <w:i w:val="0"/>
              <w:iCs w:val="0"/>
              <w:sz w:val="24"/>
              <w:szCs w:val="24"/>
            </w:rPr>
            <w:t>1</w:t>
          </w:r>
          <w:r>
            <w:rPr>
              <w:i w:val="0"/>
              <w:iCs w:val="0"/>
              <w:sz w:val="24"/>
              <w:szCs w:val="24"/>
            </w:rPr>
            <w:fldChar w:fldCharType="end"/>
          </w:r>
          <w:r>
            <w:rPr>
              <w:i w:val="0"/>
              <w:iCs w:val="0"/>
              <w:sz w:val="24"/>
              <w:szCs w:val="24"/>
            </w:rPr>
            <w:fldChar w:fldCharType="end"/>
          </w:r>
        </w:p>
        <w:p w14:paraId="33EF5F49">
          <w:pPr>
            <w:pStyle w:val="16"/>
            <w:tabs>
              <w:tab w:val="right" w:leader="dot" w:pos="8296"/>
            </w:tabs>
            <w:ind w:firstLine="400"/>
            <w:rPr>
              <w:rFonts w:cstheme="minorBidi"/>
              <w:smallCaps w:val="0"/>
              <w:sz w:val="24"/>
              <w:szCs w:val="24"/>
            </w:rPr>
          </w:pPr>
          <w:r>
            <w:fldChar w:fldCharType="begin"/>
          </w:r>
          <w:r>
            <w:instrText xml:space="preserve"> HYPERLINK \l "_Toc13645270" </w:instrText>
          </w:r>
          <w:r>
            <w:fldChar w:fldCharType="separate"/>
          </w:r>
          <w:r>
            <w:rPr>
              <w:rStyle w:val="22"/>
              <w:sz w:val="24"/>
              <w:szCs w:val="24"/>
            </w:rPr>
            <w:t>（二）项目预算绩效目标</w:t>
          </w:r>
          <w:r>
            <w:rPr>
              <w:sz w:val="24"/>
              <w:szCs w:val="24"/>
            </w:rPr>
            <w:tab/>
          </w:r>
          <w:r>
            <w:rPr>
              <w:sz w:val="24"/>
              <w:szCs w:val="24"/>
            </w:rPr>
            <w:fldChar w:fldCharType="begin"/>
          </w:r>
          <w:r>
            <w:rPr>
              <w:sz w:val="24"/>
              <w:szCs w:val="24"/>
            </w:rPr>
            <w:instrText xml:space="preserve"> PAGEREF _Toc13645270 \h </w:instrText>
          </w:r>
          <w:r>
            <w:rPr>
              <w:sz w:val="24"/>
              <w:szCs w:val="24"/>
            </w:rPr>
            <w:fldChar w:fldCharType="separate"/>
          </w:r>
          <w:r>
            <w:rPr>
              <w:sz w:val="24"/>
              <w:szCs w:val="24"/>
            </w:rPr>
            <w:t>2</w:t>
          </w:r>
          <w:r>
            <w:rPr>
              <w:sz w:val="24"/>
              <w:szCs w:val="24"/>
            </w:rPr>
            <w:fldChar w:fldCharType="end"/>
          </w:r>
          <w:r>
            <w:rPr>
              <w:sz w:val="24"/>
              <w:szCs w:val="24"/>
            </w:rPr>
            <w:fldChar w:fldCharType="end"/>
          </w:r>
        </w:p>
        <w:p w14:paraId="5670FBAF">
          <w:pPr>
            <w:pStyle w:val="7"/>
            <w:tabs>
              <w:tab w:val="right" w:leader="dot" w:pos="8296"/>
            </w:tabs>
            <w:ind w:firstLine="400"/>
            <w:rPr>
              <w:rFonts w:cstheme="minorBidi"/>
              <w:i w:val="0"/>
              <w:iCs w:val="0"/>
              <w:sz w:val="24"/>
              <w:szCs w:val="24"/>
            </w:rPr>
          </w:pPr>
          <w:r>
            <w:fldChar w:fldCharType="begin"/>
          </w:r>
          <w:r>
            <w:instrText xml:space="preserve"> HYPERLINK \l "_Toc13645271" </w:instrText>
          </w:r>
          <w:r>
            <w:fldChar w:fldCharType="separate"/>
          </w:r>
          <w:r>
            <w:rPr>
              <w:rStyle w:val="22"/>
              <w:i w:val="0"/>
              <w:iCs w:val="0"/>
              <w:sz w:val="24"/>
              <w:szCs w:val="24"/>
            </w:rPr>
            <w:t>1、产出目标</w:t>
          </w:r>
          <w:r>
            <w:rPr>
              <w:i w:val="0"/>
              <w:iCs w:val="0"/>
              <w:sz w:val="24"/>
              <w:szCs w:val="24"/>
            </w:rPr>
            <w:tab/>
          </w:r>
          <w:r>
            <w:rPr>
              <w:i w:val="0"/>
              <w:iCs w:val="0"/>
              <w:sz w:val="24"/>
              <w:szCs w:val="24"/>
            </w:rPr>
            <w:fldChar w:fldCharType="begin"/>
          </w:r>
          <w:r>
            <w:rPr>
              <w:i w:val="0"/>
              <w:iCs w:val="0"/>
              <w:sz w:val="24"/>
              <w:szCs w:val="24"/>
            </w:rPr>
            <w:instrText xml:space="preserve"> PAGEREF _Toc13645271 \h </w:instrText>
          </w:r>
          <w:r>
            <w:rPr>
              <w:i w:val="0"/>
              <w:iCs w:val="0"/>
              <w:sz w:val="24"/>
              <w:szCs w:val="24"/>
            </w:rPr>
            <w:fldChar w:fldCharType="separate"/>
          </w:r>
          <w:r>
            <w:rPr>
              <w:i w:val="0"/>
              <w:iCs w:val="0"/>
              <w:sz w:val="24"/>
              <w:szCs w:val="24"/>
            </w:rPr>
            <w:t>2</w:t>
          </w:r>
          <w:r>
            <w:rPr>
              <w:i w:val="0"/>
              <w:iCs w:val="0"/>
              <w:sz w:val="24"/>
              <w:szCs w:val="24"/>
            </w:rPr>
            <w:fldChar w:fldCharType="end"/>
          </w:r>
          <w:r>
            <w:rPr>
              <w:i w:val="0"/>
              <w:iCs w:val="0"/>
              <w:sz w:val="24"/>
              <w:szCs w:val="24"/>
            </w:rPr>
            <w:fldChar w:fldCharType="end"/>
          </w:r>
        </w:p>
        <w:p w14:paraId="2CAF8E24">
          <w:pPr>
            <w:pStyle w:val="7"/>
            <w:tabs>
              <w:tab w:val="right" w:leader="dot" w:pos="8296"/>
            </w:tabs>
            <w:ind w:firstLine="400"/>
            <w:rPr>
              <w:rFonts w:cstheme="minorBidi"/>
              <w:i w:val="0"/>
              <w:iCs w:val="0"/>
              <w:sz w:val="24"/>
              <w:szCs w:val="24"/>
            </w:rPr>
          </w:pPr>
          <w:r>
            <w:fldChar w:fldCharType="begin"/>
          </w:r>
          <w:r>
            <w:instrText xml:space="preserve"> HYPERLINK \l "_Toc13645272" </w:instrText>
          </w:r>
          <w:r>
            <w:fldChar w:fldCharType="separate"/>
          </w:r>
          <w:r>
            <w:rPr>
              <w:rStyle w:val="22"/>
              <w:i w:val="0"/>
              <w:iCs w:val="0"/>
              <w:sz w:val="24"/>
              <w:szCs w:val="24"/>
            </w:rPr>
            <w:t>2、效果目标</w:t>
          </w:r>
          <w:r>
            <w:rPr>
              <w:i w:val="0"/>
              <w:iCs w:val="0"/>
              <w:sz w:val="24"/>
              <w:szCs w:val="24"/>
            </w:rPr>
            <w:tab/>
          </w:r>
          <w:r>
            <w:rPr>
              <w:i w:val="0"/>
              <w:iCs w:val="0"/>
              <w:sz w:val="24"/>
              <w:szCs w:val="24"/>
            </w:rPr>
            <w:fldChar w:fldCharType="begin"/>
          </w:r>
          <w:r>
            <w:rPr>
              <w:i w:val="0"/>
              <w:iCs w:val="0"/>
              <w:sz w:val="24"/>
              <w:szCs w:val="24"/>
            </w:rPr>
            <w:instrText xml:space="preserve"> PAGEREF _Toc13645272 \h </w:instrText>
          </w:r>
          <w:r>
            <w:rPr>
              <w:i w:val="0"/>
              <w:iCs w:val="0"/>
              <w:sz w:val="24"/>
              <w:szCs w:val="24"/>
            </w:rPr>
            <w:fldChar w:fldCharType="separate"/>
          </w:r>
          <w:r>
            <w:rPr>
              <w:i w:val="0"/>
              <w:iCs w:val="0"/>
              <w:sz w:val="24"/>
              <w:szCs w:val="24"/>
            </w:rPr>
            <w:t>2</w:t>
          </w:r>
          <w:r>
            <w:rPr>
              <w:i w:val="0"/>
              <w:iCs w:val="0"/>
              <w:sz w:val="24"/>
              <w:szCs w:val="24"/>
            </w:rPr>
            <w:fldChar w:fldCharType="end"/>
          </w:r>
          <w:r>
            <w:rPr>
              <w:i w:val="0"/>
              <w:iCs w:val="0"/>
              <w:sz w:val="24"/>
              <w:szCs w:val="24"/>
            </w:rPr>
            <w:fldChar w:fldCharType="end"/>
          </w:r>
        </w:p>
        <w:p w14:paraId="622F2EBB">
          <w:pPr>
            <w:pStyle w:val="13"/>
            <w:tabs>
              <w:tab w:val="right" w:leader="dot" w:pos="8296"/>
            </w:tabs>
            <w:ind w:firstLine="402"/>
            <w:rPr>
              <w:rFonts w:cstheme="minorBidi"/>
              <w:b w:val="0"/>
              <w:bCs w:val="0"/>
              <w:caps w:val="0"/>
              <w:sz w:val="24"/>
              <w:szCs w:val="24"/>
            </w:rPr>
          </w:pPr>
          <w:r>
            <w:fldChar w:fldCharType="begin"/>
          </w:r>
          <w:r>
            <w:instrText xml:space="preserve"> HYPERLINK \l "_Toc13645273" </w:instrText>
          </w:r>
          <w:r>
            <w:fldChar w:fldCharType="separate"/>
          </w:r>
          <w:r>
            <w:rPr>
              <w:rStyle w:val="22"/>
              <w:sz w:val="24"/>
              <w:szCs w:val="24"/>
            </w:rPr>
            <w:t>二、项目绩效分析</w:t>
          </w:r>
          <w:r>
            <w:rPr>
              <w:sz w:val="24"/>
              <w:szCs w:val="24"/>
            </w:rPr>
            <w:tab/>
          </w:r>
          <w:r>
            <w:rPr>
              <w:sz w:val="24"/>
              <w:szCs w:val="24"/>
            </w:rPr>
            <w:fldChar w:fldCharType="begin"/>
          </w:r>
          <w:r>
            <w:rPr>
              <w:sz w:val="24"/>
              <w:szCs w:val="24"/>
            </w:rPr>
            <w:instrText xml:space="preserve"> PAGEREF _Toc13645273 \h </w:instrText>
          </w:r>
          <w:r>
            <w:rPr>
              <w:sz w:val="24"/>
              <w:szCs w:val="24"/>
            </w:rPr>
            <w:fldChar w:fldCharType="separate"/>
          </w:r>
          <w:r>
            <w:rPr>
              <w:sz w:val="24"/>
              <w:szCs w:val="24"/>
            </w:rPr>
            <w:t>2</w:t>
          </w:r>
          <w:r>
            <w:rPr>
              <w:sz w:val="24"/>
              <w:szCs w:val="24"/>
            </w:rPr>
            <w:fldChar w:fldCharType="end"/>
          </w:r>
          <w:r>
            <w:rPr>
              <w:sz w:val="24"/>
              <w:szCs w:val="24"/>
            </w:rPr>
            <w:fldChar w:fldCharType="end"/>
          </w:r>
        </w:p>
        <w:p w14:paraId="6ABF9FF1">
          <w:pPr>
            <w:pStyle w:val="16"/>
            <w:tabs>
              <w:tab w:val="right" w:leader="dot" w:pos="8296"/>
            </w:tabs>
            <w:ind w:firstLine="400"/>
            <w:rPr>
              <w:rFonts w:cstheme="minorBidi"/>
              <w:smallCaps w:val="0"/>
              <w:sz w:val="24"/>
              <w:szCs w:val="24"/>
            </w:rPr>
          </w:pPr>
          <w:r>
            <w:fldChar w:fldCharType="begin"/>
          </w:r>
          <w:r>
            <w:instrText xml:space="preserve"> HYPERLINK \l "_Toc13645274" </w:instrText>
          </w:r>
          <w:r>
            <w:fldChar w:fldCharType="separate"/>
          </w:r>
          <w:r>
            <w:rPr>
              <w:rStyle w:val="22"/>
              <w:sz w:val="24"/>
              <w:szCs w:val="24"/>
            </w:rPr>
            <w:t>（一）项目管理情况</w:t>
          </w:r>
          <w:r>
            <w:rPr>
              <w:sz w:val="24"/>
              <w:szCs w:val="24"/>
            </w:rPr>
            <w:tab/>
          </w:r>
          <w:r>
            <w:rPr>
              <w:sz w:val="24"/>
              <w:szCs w:val="24"/>
            </w:rPr>
            <w:fldChar w:fldCharType="begin"/>
          </w:r>
          <w:r>
            <w:rPr>
              <w:sz w:val="24"/>
              <w:szCs w:val="24"/>
            </w:rPr>
            <w:instrText xml:space="preserve"> PAGEREF _Toc13645274 \h </w:instrText>
          </w:r>
          <w:r>
            <w:rPr>
              <w:sz w:val="24"/>
              <w:szCs w:val="24"/>
            </w:rPr>
            <w:fldChar w:fldCharType="separate"/>
          </w:r>
          <w:r>
            <w:rPr>
              <w:sz w:val="24"/>
              <w:szCs w:val="24"/>
            </w:rPr>
            <w:t>2</w:t>
          </w:r>
          <w:r>
            <w:rPr>
              <w:sz w:val="24"/>
              <w:szCs w:val="24"/>
            </w:rPr>
            <w:fldChar w:fldCharType="end"/>
          </w:r>
          <w:r>
            <w:rPr>
              <w:sz w:val="24"/>
              <w:szCs w:val="24"/>
            </w:rPr>
            <w:fldChar w:fldCharType="end"/>
          </w:r>
        </w:p>
        <w:p w14:paraId="37753254">
          <w:pPr>
            <w:pStyle w:val="7"/>
            <w:tabs>
              <w:tab w:val="right" w:leader="dot" w:pos="8296"/>
            </w:tabs>
            <w:ind w:firstLine="400"/>
            <w:rPr>
              <w:rFonts w:cstheme="minorBidi"/>
              <w:i w:val="0"/>
              <w:iCs w:val="0"/>
              <w:sz w:val="24"/>
              <w:szCs w:val="24"/>
            </w:rPr>
          </w:pPr>
          <w:r>
            <w:fldChar w:fldCharType="begin"/>
          </w:r>
          <w:r>
            <w:instrText xml:space="preserve"> HYPERLINK \l "_Toc13645275" </w:instrText>
          </w:r>
          <w:r>
            <w:fldChar w:fldCharType="separate"/>
          </w:r>
          <w:r>
            <w:rPr>
              <w:rStyle w:val="22"/>
              <w:i w:val="0"/>
              <w:iCs w:val="0"/>
              <w:sz w:val="24"/>
              <w:szCs w:val="24"/>
            </w:rPr>
            <w:t>1、业务管理情况</w:t>
          </w:r>
          <w:r>
            <w:rPr>
              <w:i w:val="0"/>
              <w:iCs w:val="0"/>
              <w:sz w:val="24"/>
              <w:szCs w:val="24"/>
            </w:rPr>
            <w:tab/>
          </w:r>
          <w:r>
            <w:rPr>
              <w:i w:val="0"/>
              <w:iCs w:val="0"/>
              <w:sz w:val="24"/>
              <w:szCs w:val="24"/>
            </w:rPr>
            <w:fldChar w:fldCharType="begin"/>
          </w:r>
          <w:r>
            <w:rPr>
              <w:i w:val="0"/>
              <w:iCs w:val="0"/>
              <w:sz w:val="24"/>
              <w:szCs w:val="24"/>
            </w:rPr>
            <w:instrText xml:space="preserve"> PAGEREF _Toc13645275 \h </w:instrText>
          </w:r>
          <w:r>
            <w:rPr>
              <w:i w:val="0"/>
              <w:iCs w:val="0"/>
              <w:sz w:val="24"/>
              <w:szCs w:val="24"/>
            </w:rPr>
            <w:fldChar w:fldCharType="separate"/>
          </w:r>
          <w:r>
            <w:rPr>
              <w:i w:val="0"/>
              <w:iCs w:val="0"/>
              <w:sz w:val="24"/>
              <w:szCs w:val="24"/>
            </w:rPr>
            <w:t>2</w:t>
          </w:r>
          <w:r>
            <w:rPr>
              <w:i w:val="0"/>
              <w:iCs w:val="0"/>
              <w:sz w:val="24"/>
              <w:szCs w:val="24"/>
            </w:rPr>
            <w:fldChar w:fldCharType="end"/>
          </w:r>
          <w:r>
            <w:rPr>
              <w:i w:val="0"/>
              <w:iCs w:val="0"/>
              <w:sz w:val="24"/>
              <w:szCs w:val="24"/>
            </w:rPr>
            <w:fldChar w:fldCharType="end"/>
          </w:r>
        </w:p>
        <w:p w14:paraId="77808479">
          <w:pPr>
            <w:pStyle w:val="7"/>
            <w:tabs>
              <w:tab w:val="right" w:leader="dot" w:pos="8296"/>
            </w:tabs>
            <w:ind w:firstLine="400"/>
            <w:rPr>
              <w:rFonts w:cstheme="minorBidi"/>
              <w:i w:val="0"/>
              <w:iCs w:val="0"/>
              <w:sz w:val="24"/>
              <w:szCs w:val="24"/>
            </w:rPr>
          </w:pPr>
          <w:r>
            <w:fldChar w:fldCharType="begin"/>
          </w:r>
          <w:r>
            <w:instrText xml:space="preserve"> HYPERLINK \l "_Toc13645276" </w:instrText>
          </w:r>
          <w:r>
            <w:fldChar w:fldCharType="separate"/>
          </w:r>
          <w:r>
            <w:rPr>
              <w:rStyle w:val="22"/>
              <w:i w:val="0"/>
              <w:iCs w:val="0"/>
              <w:sz w:val="24"/>
              <w:szCs w:val="24"/>
            </w:rPr>
            <w:t>2、财务管理情况</w:t>
          </w:r>
          <w:r>
            <w:rPr>
              <w:i w:val="0"/>
              <w:iCs w:val="0"/>
              <w:sz w:val="24"/>
              <w:szCs w:val="24"/>
            </w:rPr>
            <w:tab/>
          </w:r>
          <w:r>
            <w:rPr>
              <w:i w:val="0"/>
              <w:iCs w:val="0"/>
              <w:sz w:val="24"/>
              <w:szCs w:val="24"/>
            </w:rPr>
            <w:fldChar w:fldCharType="begin"/>
          </w:r>
          <w:r>
            <w:rPr>
              <w:i w:val="0"/>
              <w:iCs w:val="0"/>
              <w:sz w:val="24"/>
              <w:szCs w:val="24"/>
            </w:rPr>
            <w:instrText xml:space="preserve"> PAGEREF _Toc13645276 \h </w:instrText>
          </w:r>
          <w:r>
            <w:rPr>
              <w:i w:val="0"/>
              <w:iCs w:val="0"/>
              <w:sz w:val="24"/>
              <w:szCs w:val="24"/>
            </w:rPr>
            <w:fldChar w:fldCharType="separate"/>
          </w:r>
          <w:r>
            <w:rPr>
              <w:i w:val="0"/>
              <w:iCs w:val="0"/>
              <w:sz w:val="24"/>
              <w:szCs w:val="24"/>
            </w:rPr>
            <w:t>4</w:t>
          </w:r>
          <w:r>
            <w:rPr>
              <w:i w:val="0"/>
              <w:iCs w:val="0"/>
              <w:sz w:val="24"/>
              <w:szCs w:val="24"/>
            </w:rPr>
            <w:fldChar w:fldCharType="end"/>
          </w:r>
          <w:r>
            <w:rPr>
              <w:i w:val="0"/>
              <w:iCs w:val="0"/>
              <w:sz w:val="24"/>
              <w:szCs w:val="24"/>
            </w:rPr>
            <w:fldChar w:fldCharType="end"/>
          </w:r>
        </w:p>
        <w:p w14:paraId="02EDA9A8">
          <w:pPr>
            <w:pStyle w:val="16"/>
            <w:tabs>
              <w:tab w:val="right" w:leader="dot" w:pos="8296"/>
            </w:tabs>
            <w:ind w:firstLine="400"/>
            <w:rPr>
              <w:rFonts w:cstheme="minorBidi"/>
              <w:smallCaps w:val="0"/>
              <w:sz w:val="24"/>
              <w:szCs w:val="24"/>
            </w:rPr>
          </w:pPr>
          <w:r>
            <w:fldChar w:fldCharType="begin"/>
          </w:r>
          <w:r>
            <w:instrText xml:space="preserve"> HYPERLINK \l "_Toc13645277" </w:instrText>
          </w:r>
          <w:r>
            <w:fldChar w:fldCharType="separate"/>
          </w:r>
          <w:r>
            <w:rPr>
              <w:rStyle w:val="22"/>
              <w:sz w:val="24"/>
              <w:szCs w:val="24"/>
            </w:rPr>
            <w:t>（二）项目预算绩效目标完成情况</w:t>
          </w:r>
          <w:r>
            <w:rPr>
              <w:sz w:val="24"/>
              <w:szCs w:val="24"/>
            </w:rPr>
            <w:tab/>
          </w:r>
          <w:r>
            <w:rPr>
              <w:sz w:val="24"/>
              <w:szCs w:val="24"/>
            </w:rPr>
            <w:fldChar w:fldCharType="begin"/>
          </w:r>
          <w:r>
            <w:rPr>
              <w:sz w:val="24"/>
              <w:szCs w:val="24"/>
            </w:rPr>
            <w:instrText xml:space="preserve"> PAGEREF _Toc13645277 \h </w:instrText>
          </w:r>
          <w:r>
            <w:rPr>
              <w:sz w:val="24"/>
              <w:szCs w:val="24"/>
            </w:rPr>
            <w:fldChar w:fldCharType="separate"/>
          </w:r>
          <w:r>
            <w:rPr>
              <w:sz w:val="24"/>
              <w:szCs w:val="24"/>
            </w:rPr>
            <w:t>4</w:t>
          </w:r>
          <w:r>
            <w:rPr>
              <w:sz w:val="24"/>
              <w:szCs w:val="24"/>
            </w:rPr>
            <w:fldChar w:fldCharType="end"/>
          </w:r>
          <w:r>
            <w:rPr>
              <w:sz w:val="24"/>
              <w:szCs w:val="24"/>
            </w:rPr>
            <w:fldChar w:fldCharType="end"/>
          </w:r>
        </w:p>
        <w:p w14:paraId="358C1C89">
          <w:pPr>
            <w:pStyle w:val="7"/>
            <w:tabs>
              <w:tab w:val="right" w:leader="dot" w:pos="8296"/>
            </w:tabs>
            <w:ind w:firstLine="400"/>
            <w:rPr>
              <w:rFonts w:cstheme="minorBidi"/>
              <w:i w:val="0"/>
              <w:iCs w:val="0"/>
              <w:sz w:val="24"/>
              <w:szCs w:val="24"/>
            </w:rPr>
          </w:pPr>
          <w:r>
            <w:fldChar w:fldCharType="begin"/>
          </w:r>
          <w:r>
            <w:instrText xml:space="preserve"> HYPERLINK \l "_Toc13645278" </w:instrText>
          </w:r>
          <w:r>
            <w:fldChar w:fldCharType="separate"/>
          </w:r>
          <w:r>
            <w:rPr>
              <w:rStyle w:val="22"/>
              <w:i w:val="0"/>
              <w:iCs w:val="0"/>
              <w:sz w:val="24"/>
              <w:szCs w:val="24"/>
            </w:rPr>
            <w:t>1、产出目标</w:t>
          </w:r>
          <w:r>
            <w:rPr>
              <w:i w:val="0"/>
              <w:iCs w:val="0"/>
              <w:sz w:val="24"/>
              <w:szCs w:val="24"/>
            </w:rPr>
            <w:tab/>
          </w:r>
          <w:r>
            <w:rPr>
              <w:i w:val="0"/>
              <w:iCs w:val="0"/>
              <w:sz w:val="24"/>
              <w:szCs w:val="24"/>
            </w:rPr>
            <w:fldChar w:fldCharType="begin"/>
          </w:r>
          <w:r>
            <w:rPr>
              <w:i w:val="0"/>
              <w:iCs w:val="0"/>
              <w:sz w:val="24"/>
              <w:szCs w:val="24"/>
            </w:rPr>
            <w:instrText xml:space="preserve"> PAGEREF _Toc13645278 \h </w:instrText>
          </w:r>
          <w:r>
            <w:rPr>
              <w:i w:val="0"/>
              <w:iCs w:val="0"/>
              <w:sz w:val="24"/>
              <w:szCs w:val="24"/>
            </w:rPr>
            <w:fldChar w:fldCharType="separate"/>
          </w:r>
          <w:r>
            <w:rPr>
              <w:i w:val="0"/>
              <w:iCs w:val="0"/>
              <w:sz w:val="24"/>
              <w:szCs w:val="24"/>
            </w:rPr>
            <w:t>4</w:t>
          </w:r>
          <w:r>
            <w:rPr>
              <w:i w:val="0"/>
              <w:iCs w:val="0"/>
              <w:sz w:val="24"/>
              <w:szCs w:val="24"/>
            </w:rPr>
            <w:fldChar w:fldCharType="end"/>
          </w:r>
          <w:r>
            <w:rPr>
              <w:i w:val="0"/>
              <w:iCs w:val="0"/>
              <w:sz w:val="24"/>
              <w:szCs w:val="24"/>
            </w:rPr>
            <w:fldChar w:fldCharType="end"/>
          </w:r>
        </w:p>
        <w:p w14:paraId="7FD27999">
          <w:pPr>
            <w:pStyle w:val="7"/>
            <w:tabs>
              <w:tab w:val="right" w:leader="dot" w:pos="8296"/>
            </w:tabs>
            <w:ind w:firstLine="400"/>
            <w:rPr>
              <w:rFonts w:cstheme="minorBidi"/>
              <w:i w:val="0"/>
              <w:iCs w:val="0"/>
              <w:sz w:val="24"/>
              <w:szCs w:val="24"/>
            </w:rPr>
          </w:pPr>
          <w:r>
            <w:fldChar w:fldCharType="begin"/>
          </w:r>
          <w:r>
            <w:instrText xml:space="preserve"> HYPERLINK \l "_Toc13645279" </w:instrText>
          </w:r>
          <w:r>
            <w:fldChar w:fldCharType="separate"/>
          </w:r>
          <w:r>
            <w:rPr>
              <w:rStyle w:val="22"/>
              <w:i w:val="0"/>
              <w:iCs w:val="0"/>
              <w:sz w:val="24"/>
              <w:szCs w:val="24"/>
            </w:rPr>
            <w:t>2、效果目标</w:t>
          </w:r>
          <w:r>
            <w:rPr>
              <w:i w:val="0"/>
              <w:iCs w:val="0"/>
              <w:sz w:val="24"/>
              <w:szCs w:val="24"/>
            </w:rPr>
            <w:tab/>
          </w:r>
          <w:r>
            <w:rPr>
              <w:i w:val="0"/>
              <w:iCs w:val="0"/>
              <w:sz w:val="24"/>
              <w:szCs w:val="24"/>
            </w:rPr>
            <w:fldChar w:fldCharType="begin"/>
          </w:r>
          <w:r>
            <w:rPr>
              <w:i w:val="0"/>
              <w:iCs w:val="0"/>
              <w:sz w:val="24"/>
              <w:szCs w:val="24"/>
            </w:rPr>
            <w:instrText xml:space="preserve"> PAGEREF _Toc13645279 \h </w:instrText>
          </w:r>
          <w:r>
            <w:rPr>
              <w:i w:val="0"/>
              <w:iCs w:val="0"/>
              <w:sz w:val="24"/>
              <w:szCs w:val="24"/>
            </w:rPr>
            <w:fldChar w:fldCharType="separate"/>
          </w:r>
          <w:r>
            <w:rPr>
              <w:i w:val="0"/>
              <w:iCs w:val="0"/>
              <w:sz w:val="24"/>
              <w:szCs w:val="24"/>
            </w:rPr>
            <w:t>6</w:t>
          </w:r>
          <w:r>
            <w:rPr>
              <w:i w:val="0"/>
              <w:iCs w:val="0"/>
              <w:sz w:val="24"/>
              <w:szCs w:val="24"/>
            </w:rPr>
            <w:fldChar w:fldCharType="end"/>
          </w:r>
          <w:r>
            <w:rPr>
              <w:i w:val="0"/>
              <w:iCs w:val="0"/>
              <w:sz w:val="24"/>
              <w:szCs w:val="24"/>
            </w:rPr>
            <w:fldChar w:fldCharType="end"/>
          </w:r>
        </w:p>
        <w:p w14:paraId="62206AB9">
          <w:pPr>
            <w:pStyle w:val="13"/>
            <w:tabs>
              <w:tab w:val="right" w:leader="dot" w:pos="8296"/>
            </w:tabs>
            <w:ind w:firstLine="402"/>
            <w:rPr>
              <w:rFonts w:cstheme="minorBidi"/>
              <w:b w:val="0"/>
              <w:bCs w:val="0"/>
              <w:caps w:val="0"/>
              <w:sz w:val="24"/>
              <w:szCs w:val="24"/>
            </w:rPr>
          </w:pPr>
          <w:r>
            <w:fldChar w:fldCharType="begin"/>
          </w:r>
          <w:r>
            <w:instrText xml:space="preserve"> HYPERLINK \l "_Toc13645280" </w:instrText>
          </w:r>
          <w:r>
            <w:fldChar w:fldCharType="separate"/>
          </w:r>
          <w:r>
            <w:rPr>
              <w:rStyle w:val="22"/>
              <w:sz w:val="24"/>
              <w:szCs w:val="24"/>
            </w:rPr>
            <w:t>三、自评结论</w:t>
          </w:r>
          <w:r>
            <w:rPr>
              <w:sz w:val="24"/>
              <w:szCs w:val="24"/>
            </w:rPr>
            <w:tab/>
          </w:r>
          <w:r>
            <w:rPr>
              <w:sz w:val="24"/>
              <w:szCs w:val="24"/>
            </w:rPr>
            <w:fldChar w:fldCharType="begin"/>
          </w:r>
          <w:r>
            <w:rPr>
              <w:sz w:val="24"/>
              <w:szCs w:val="24"/>
            </w:rPr>
            <w:instrText xml:space="preserve"> PAGEREF _Toc13645280 \h </w:instrText>
          </w:r>
          <w:r>
            <w:rPr>
              <w:sz w:val="24"/>
              <w:szCs w:val="24"/>
            </w:rPr>
            <w:fldChar w:fldCharType="separate"/>
          </w:r>
          <w:r>
            <w:rPr>
              <w:sz w:val="24"/>
              <w:szCs w:val="24"/>
            </w:rPr>
            <w:t>8</w:t>
          </w:r>
          <w:r>
            <w:rPr>
              <w:sz w:val="24"/>
              <w:szCs w:val="24"/>
            </w:rPr>
            <w:fldChar w:fldCharType="end"/>
          </w:r>
          <w:r>
            <w:rPr>
              <w:sz w:val="24"/>
              <w:szCs w:val="24"/>
            </w:rPr>
            <w:fldChar w:fldCharType="end"/>
          </w:r>
        </w:p>
        <w:p w14:paraId="12AC45C7">
          <w:pPr>
            <w:pStyle w:val="16"/>
            <w:tabs>
              <w:tab w:val="right" w:leader="dot" w:pos="8296"/>
            </w:tabs>
            <w:ind w:firstLine="400"/>
            <w:rPr>
              <w:rFonts w:cstheme="minorBidi"/>
              <w:smallCaps w:val="0"/>
              <w:sz w:val="24"/>
              <w:szCs w:val="24"/>
            </w:rPr>
          </w:pPr>
          <w:r>
            <w:fldChar w:fldCharType="begin"/>
          </w:r>
          <w:r>
            <w:instrText xml:space="preserve"> HYPERLINK \l "_Toc13645281" </w:instrText>
          </w:r>
          <w:r>
            <w:fldChar w:fldCharType="separate"/>
          </w:r>
          <w:r>
            <w:rPr>
              <w:rStyle w:val="22"/>
              <w:sz w:val="24"/>
              <w:szCs w:val="24"/>
            </w:rPr>
            <w:t>（一）自评结论</w:t>
          </w:r>
          <w:r>
            <w:rPr>
              <w:sz w:val="24"/>
              <w:szCs w:val="24"/>
            </w:rPr>
            <w:tab/>
          </w:r>
          <w:r>
            <w:rPr>
              <w:sz w:val="24"/>
              <w:szCs w:val="24"/>
            </w:rPr>
            <w:fldChar w:fldCharType="begin"/>
          </w:r>
          <w:r>
            <w:rPr>
              <w:sz w:val="24"/>
              <w:szCs w:val="24"/>
            </w:rPr>
            <w:instrText xml:space="preserve"> PAGEREF _Toc13645281 \h </w:instrText>
          </w:r>
          <w:r>
            <w:rPr>
              <w:sz w:val="24"/>
              <w:szCs w:val="24"/>
            </w:rPr>
            <w:fldChar w:fldCharType="separate"/>
          </w:r>
          <w:r>
            <w:rPr>
              <w:sz w:val="24"/>
              <w:szCs w:val="24"/>
            </w:rPr>
            <w:t>8</w:t>
          </w:r>
          <w:r>
            <w:rPr>
              <w:sz w:val="24"/>
              <w:szCs w:val="24"/>
            </w:rPr>
            <w:fldChar w:fldCharType="end"/>
          </w:r>
          <w:r>
            <w:rPr>
              <w:sz w:val="24"/>
              <w:szCs w:val="24"/>
            </w:rPr>
            <w:fldChar w:fldCharType="end"/>
          </w:r>
        </w:p>
        <w:p w14:paraId="77AA34EC">
          <w:pPr>
            <w:pStyle w:val="7"/>
            <w:tabs>
              <w:tab w:val="right" w:leader="dot" w:pos="8296"/>
            </w:tabs>
            <w:ind w:firstLine="400"/>
            <w:rPr>
              <w:rFonts w:cstheme="minorBidi"/>
              <w:i w:val="0"/>
              <w:iCs w:val="0"/>
              <w:sz w:val="24"/>
              <w:szCs w:val="24"/>
            </w:rPr>
          </w:pPr>
          <w:r>
            <w:fldChar w:fldCharType="begin"/>
          </w:r>
          <w:r>
            <w:instrText xml:space="preserve"> HYPERLINK \l "_Toc13645282" </w:instrText>
          </w:r>
          <w:r>
            <w:fldChar w:fldCharType="separate"/>
          </w:r>
          <w:r>
            <w:rPr>
              <w:rStyle w:val="22"/>
              <w:i w:val="0"/>
              <w:iCs w:val="0"/>
              <w:sz w:val="24"/>
              <w:szCs w:val="24"/>
            </w:rPr>
            <w:t>1、自评得分</w:t>
          </w:r>
          <w:r>
            <w:rPr>
              <w:i w:val="0"/>
              <w:iCs w:val="0"/>
              <w:sz w:val="24"/>
              <w:szCs w:val="24"/>
            </w:rPr>
            <w:tab/>
          </w:r>
          <w:r>
            <w:rPr>
              <w:i w:val="0"/>
              <w:iCs w:val="0"/>
              <w:sz w:val="24"/>
              <w:szCs w:val="24"/>
            </w:rPr>
            <w:fldChar w:fldCharType="begin"/>
          </w:r>
          <w:r>
            <w:rPr>
              <w:i w:val="0"/>
              <w:iCs w:val="0"/>
              <w:sz w:val="24"/>
              <w:szCs w:val="24"/>
            </w:rPr>
            <w:instrText xml:space="preserve"> PAGEREF _Toc13645282 \h </w:instrText>
          </w:r>
          <w:r>
            <w:rPr>
              <w:i w:val="0"/>
              <w:iCs w:val="0"/>
              <w:sz w:val="24"/>
              <w:szCs w:val="24"/>
            </w:rPr>
            <w:fldChar w:fldCharType="separate"/>
          </w:r>
          <w:r>
            <w:rPr>
              <w:i w:val="0"/>
              <w:iCs w:val="0"/>
              <w:sz w:val="24"/>
              <w:szCs w:val="24"/>
            </w:rPr>
            <w:t>8</w:t>
          </w:r>
          <w:r>
            <w:rPr>
              <w:i w:val="0"/>
              <w:iCs w:val="0"/>
              <w:sz w:val="24"/>
              <w:szCs w:val="24"/>
            </w:rPr>
            <w:fldChar w:fldCharType="end"/>
          </w:r>
          <w:r>
            <w:rPr>
              <w:i w:val="0"/>
              <w:iCs w:val="0"/>
              <w:sz w:val="24"/>
              <w:szCs w:val="24"/>
            </w:rPr>
            <w:fldChar w:fldCharType="end"/>
          </w:r>
        </w:p>
        <w:p w14:paraId="6DE68574">
          <w:pPr>
            <w:pStyle w:val="7"/>
            <w:tabs>
              <w:tab w:val="right" w:leader="dot" w:pos="8296"/>
            </w:tabs>
            <w:ind w:firstLine="400"/>
            <w:rPr>
              <w:rFonts w:cstheme="minorBidi"/>
              <w:i w:val="0"/>
              <w:iCs w:val="0"/>
              <w:sz w:val="24"/>
              <w:szCs w:val="24"/>
            </w:rPr>
          </w:pPr>
          <w:r>
            <w:fldChar w:fldCharType="begin"/>
          </w:r>
          <w:r>
            <w:instrText xml:space="preserve"> HYPERLINK \l "_Toc13645283" </w:instrText>
          </w:r>
          <w:r>
            <w:fldChar w:fldCharType="separate"/>
          </w:r>
          <w:r>
            <w:rPr>
              <w:rStyle w:val="22"/>
              <w:i w:val="0"/>
              <w:iCs w:val="0"/>
              <w:sz w:val="24"/>
              <w:szCs w:val="24"/>
            </w:rPr>
            <w:t>2、对项目决策管理和绩效的综合评价</w:t>
          </w:r>
          <w:r>
            <w:rPr>
              <w:i w:val="0"/>
              <w:iCs w:val="0"/>
              <w:sz w:val="24"/>
              <w:szCs w:val="24"/>
            </w:rPr>
            <w:tab/>
          </w:r>
          <w:r>
            <w:rPr>
              <w:i w:val="0"/>
              <w:iCs w:val="0"/>
              <w:sz w:val="24"/>
              <w:szCs w:val="24"/>
            </w:rPr>
            <w:fldChar w:fldCharType="begin"/>
          </w:r>
          <w:r>
            <w:rPr>
              <w:i w:val="0"/>
              <w:iCs w:val="0"/>
              <w:sz w:val="24"/>
              <w:szCs w:val="24"/>
            </w:rPr>
            <w:instrText xml:space="preserve"> PAGEREF _Toc13645283 \h </w:instrText>
          </w:r>
          <w:r>
            <w:rPr>
              <w:i w:val="0"/>
              <w:iCs w:val="0"/>
              <w:sz w:val="24"/>
              <w:szCs w:val="24"/>
            </w:rPr>
            <w:fldChar w:fldCharType="separate"/>
          </w:r>
          <w:r>
            <w:rPr>
              <w:i w:val="0"/>
              <w:iCs w:val="0"/>
              <w:sz w:val="24"/>
              <w:szCs w:val="24"/>
            </w:rPr>
            <w:t>8</w:t>
          </w:r>
          <w:r>
            <w:rPr>
              <w:i w:val="0"/>
              <w:iCs w:val="0"/>
              <w:sz w:val="24"/>
              <w:szCs w:val="24"/>
            </w:rPr>
            <w:fldChar w:fldCharType="end"/>
          </w:r>
          <w:r>
            <w:rPr>
              <w:i w:val="0"/>
              <w:iCs w:val="0"/>
              <w:sz w:val="24"/>
              <w:szCs w:val="24"/>
            </w:rPr>
            <w:fldChar w:fldCharType="end"/>
          </w:r>
        </w:p>
        <w:p w14:paraId="5DD5EC6D">
          <w:pPr>
            <w:pStyle w:val="16"/>
            <w:tabs>
              <w:tab w:val="right" w:leader="dot" w:pos="8296"/>
            </w:tabs>
            <w:ind w:firstLine="400"/>
            <w:rPr>
              <w:rFonts w:cstheme="minorBidi"/>
              <w:smallCaps w:val="0"/>
              <w:sz w:val="24"/>
              <w:szCs w:val="24"/>
            </w:rPr>
          </w:pPr>
          <w:r>
            <w:fldChar w:fldCharType="begin"/>
          </w:r>
          <w:r>
            <w:instrText xml:space="preserve"> HYPERLINK \l "_Toc13645284" </w:instrText>
          </w:r>
          <w:r>
            <w:fldChar w:fldCharType="separate"/>
          </w:r>
          <w:r>
            <w:rPr>
              <w:rStyle w:val="22"/>
              <w:sz w:val="24"/>
              <w:szCs w:val="24"/>
            </w:rPr>
            <w:t>（二）主要经验、存在的问题和改进措施</w:t>
          </w:r>
          <w:r>
            <w:rPr>
              <w:sz w:val="24"/>
              <w:szCs w:val="24"/>
            </w:rPr>
            <w:tab/>
          </w:r>
          <w:r>
            <w:rPr>
              <w:sz w:val="24"/>
              <w:szCs w:val="24"/>
            </w:rPr>
            <w:fldChar w:fldCharType="begin"/>
          </w:r>
          <w:r>
            <w:rPr>
              <w:sz w:val="24"/>
              <w:szCs w:val="24"/>
            </w:rPr>
            <w:instrText xml:space="preserve"> PAGEREF _Toc13645284 \h </w:instrText>
          </w:r>
          <w:r>
            <w:rPr>
              <w:sz w:val="24"/>
              <w:szCs w:val="24"/>
            </w:rPr>
            <w:fldChar w:fldCharType="separate"/>
          </w:r>
          <w:r>
            <w:rPr>
              <w:sz w:val="24"/>
              <w:szCs w:val="24"/>
            </w:rPr>
            <w:t>9</w:t>
          </w:r>
          <w:r>
            <w:rPr>
              <w:sz w:val="24"/>
              <w:szCs w:val="24"/>
            </w:rPr>
            <w:fldChar w:fldCharType="end"/>
          </w:r>
          <w:r>
            <w:rPr>
              <w:sz w:val="24"/>
              <w:szCs w:val="24"/>
            </w:rPr>
            <w:fldChar w:fldCharType="end"/>
          </w:r>
        </w:p>
        <w:p w14:paraId="629066B3">
          <w:pPr>
            <w:pStyle w:val="7"/>
            <w:tabs>
              <w:tab w:val="right" w:leader="dot" w:pos="8296"/>
            </w:tabs>
            <w:ind w:firstLine="400"/>
            <w:rPr>
              <w:rFonts w:cstheme="minorBidi"/>
              <w:i w:val="0"/>
              <w:iCs w:val="0"/>
              <w:sz w:val="24"/>
              <w:szCs w:val="24"/>
            </w:rPr>
          </w:pPr>
          <w:r>
            <w:fldChar w:fldCharType="begin"/>
          </w:r>
          <w:r>
            <w:instrText xml:space="preserve"> HYPERLINK \l "_Toc13645285" </w:instrText>
          </w:r>
          <w:r>
            <w:fldChar w:fldCharType="separate"/>
          </w:r>
          <w:r>
            <w:rPr>
              <w:rStyle w:val="22"/>
              <w:i w:val="0"/>
              <w:iCs w:val="0"/>
              <w:sz w:val="24"/>
              <w:szCs w:val="24"/>
            </w:rPr>
            <w:t>1、主要经验</w:t>
          </w:r>
          <w:r>
            <w:rPr>
              <w:i w:val="0"/>
              <w:iCs w:val="0"/>
              <w:sz w:val="24"/>
              <w:szCs w:val="24"/>
            </w:rPr>
            <w:tab/>
          </w:r>
          <w:r>
            <w:rPr>
              <w:i w:val="0"/>
              <w:iCs w:val="0"/>
              <w:sz w:val="24"/>
              <w:szCs w:val="24"/>
            </w:rPr>
            <w:fldChar w:fldCharType="begin"/>
          </w:r>
          <w:r>
            <w:rPr>
              <w:i w:val="0"/>
              <w:iCs w:val="0"/>
              <w:sz w:val="24"/>
              <w:szCs w:val="24"/>
            </w:rPr>
            <w:instrText xml:space="preserve"> PAGEREF _Toc13645285 \h </w:instrText>
          </w:r>
          <w:r>
            <w:rPr>
              <w:i w:val="0"/>
              <w:iCs w:val="0"/>
              <w:sz w:val="24"/>
              <w:szCs w:val="24"/>
            </w:rPr>
            <w:fldChar w:fldCharType="separate"/>
          </w:r>
          <w:r>
            <w:rPr>
              <w:i w:val="0"/>
              <w:iCs w:val="0"/>
              <w:sz w:val="24"/>
              <w:szCs w:val="24"/>
            </w:rPr>
            <w:t>9</w:t>
          </w:r>
          <w:r>
            <w:rPr>
              <w:i w:val="0"/>
              <w:iCs w:val="0"/>
              <w:sz w:val="24"/>
              <w:szCs w:val="24"/>
            </w:rPr>
            <w:fldChar w:fldCharType="end"/>
          </w:r>
          <w:r>
            <w:rPr>
              <w:i w:val="0"/>
              <w:iCs w:val="0"/>
              <w:sz w:val="24"/>
              <w:szCs w:val="24"/>
            </w:rPr>
            <w:fldChar w:fldCharType="end"/>
          </w:r>
        </w:p>
        <w:p w14:paraId="16C04121">
          <w:pPr>
            <w:pStyle w:val="7"/>
            <w:tabs>
              <w:tab w:val="right" w:leader="dot" w:pos="8296"/>
            </w:tabs>
            <w:ind w:firstLine="400"/>
            <w:rPr>
              <w:rFonts w:cstheme="minorBidi"/>
              <w:i w:val="0"/>
              <w:iCs w:val="0"/>
              <w:sz w:val="24"/>
              <w:szCs w:val="24"/>
            </w:rPr>
          </w:pPr>
          <w:r>
            <w:fldChar w:fldCharType="begin"/>
          </w:r>
          <w:r>
            <w:instrText xml:space="preserve"> HYPERLINK \l "_Toc13645286" </w:instrText>
          </w:r>
          <w:r>
            <w:fldChar w:fldCharType="separate"/>
          </w:r>
          <w:r>
            <w:rPr>
              <w:rStyle w:val="22"/>
              <w:i w:val="0"/>
              <w:iCs w:val="0"/>
              <w:sz w:val="24"/>
              <w:szCs w:val="24"/>
            </w:rPr>
            <w:t>2、存在的问题</w:t>
          </w:r>
          <w:r>
            <w:rPr>
              <w:i w:val="0"/>
              <w:iCs w:val="0"/>
              <w:sz w:val="24"/>
              <w:szCs w:val="24"/>
            </w:rPr>
            <w:tab/>
          </w:r>
          <w:r>
            <w:rPr>
              <w:i w:val="0"/>
              <w:iCs w:val="0"/>
              <w:sz w:val="24"/>
              <w:szCs w:val="24"/>
            </w:rPr>
            <w:fldChar w:fldCharType="begin"/>
          </w:r>
          <w:r>
            <w:rPr>
              <w:i w:val="0"/>
              <w:iCs w:val="0"/>
              <w:sz w:val="24"/>
              <w:szCs w:val="24"/>
            </w:rPr>
            <w:instrText xml:space="preserve"> PAGEREF _Toc13645286 \h </w:instrText>
          </w:r>
          <w:r>
            <w:rPr>
              <w:i w:val="0"/>
              <w:iCs w:val="0"/>
              <w:sz w:val="24"/>
              <w:szCs w:val="24"/>
            </w:rPr>
            <w:fldChar w:fldCharType="separate"/>
          </w:r>
          <w:r>
            <w:rPr>
              <w:i w:val="0"/>
              <w:iCs w:val="0"/>
              <w:sz w:val="24"/>
              <w:szCs w:val="24"/>
            </w:rPr>
            <w:t>10</w:t>
          </w:r>
          <w:r>
            <w:rPr>
              <w:i w:val="0"/>
              <w:iCs w:val="0"/>
              <w:sz w:val="24"/>
              <w:szCs w:val="24"/>
            </w:rPr>
            <w:fldChar w:fldCharType="end"/>
          </w:r>
          <w:r>
            <w:rPr>
              <w:i w:val="0"/>
              <w:iCs w:val="0"/>
              <w:sz w:val="24"/>
              <w:szCs w:val="24"/>
            </w:rPr>
            <w:fldChar w:fldCharType="end"/>
          </w:r>
        </w:p>
        <w:p w14:paraId="11D8BFA1">
          <w:pPr>
            <w:pStyle w:val="7"/>
            <w:tabs>
              <w:tab w:val="right" w:leader="dot" w:pos="8296"/>
            </w:tabs>
            <w:ind w:firstLine="400"/>
            <w:rPr>
              <w:rFonts w:cstheme="minorBidi"/>
              <w:i w:val="0"/>
              <w:iCs w:val="0"/>
              <w:sz w:val="24"/>
              <w:szCs w:val="24"/>
            </w:rPr>
          </w:pPr>
          <w:r>
            <w:fldChar w:fldCharType="begin"/>
          </w:r>
          <w:r>
            <w:instrText xml:space="preserve"> HYPERLINK \l "_Toc13645287" </w:instrText>
          </w:r>
          <w:r>
            <w:fldChar w:fldCharType="separate"/>
          </w:r>
          <w:r>
            <w:rPr>
              <w:rStyle w:val="22"/>
              <w:i w:val="0"/>
              <w:iCs w:val="0"/>
              <w:sz w:val="24"/>
              <w:szCs w:val="24"/>
            </w:rPr>
            <w:t>3、改进措施</w:t>
          </w:r>
          <w:r>
            <w:rPr>
              <w:i w:val="0"/>
              <w:iCs w:val="0"/>
              <w:sz w:val="24"/>
              <w:szCs w:val="24"/>
            </w:rPr>
            <w:tab/>
          </w:r>
          <w:r>
            <w:rPr>
              <w:i w:val="0"/>
              <w:iCs w:val="0"/>
              <w:sz w:val="24"/>
              <w:szCs w:val="24"/>
            </w:rPr>
            <w:fldChar w:fldCharType="begin"/>
          </w:r>
          <w:r>
            <w:rPr>
              <w:i w:val="0"/>
              <w:iCs w:val="0"/>
              <w:sz w:val="24"/>
              <w:szCs w:val="24"/>
            </w:rPr>
            <w:instrText xml:space="preserve"> PAGEREF _Toc13645287 \h </w:instrText>
          </w:r>
          <w:r>
            <w:rPr>
              <w:i w:val="0"/>
              <w:iCs w:val="0"/>
              <w:sz w:val="24"/>
              <w:szCs w:val="24"/>
            </w:rPr>
            <w:fldChar w:fldCharType="separate"/>
          </w:r>
          <w:r>
            <w:rPr>
              <w:i w:val="0"/>
              <w:iCs w:val="0"/>
              <w:sz w:val="24"/>
              <w:szCs w:val="24"/>
            </w:rPr>
            <w:t>10</w:t>
          </w:r>
          <w:r>
            <w:rPr>
              <w:i w:val="0"/>
              <w:iCs w:val="0"/>
              <w:sz w:val="24"/>
              <w:szCs w:val="24"/>
            </w:rPr>
            <w:fldChar w:fldCharType="end"/>
          </w:r>
          <w:r>
            <w:rPr>
              <w:i w:val="0"/>
              <w:iCs w:val="0"/>
              <w:sz w:val="24"/>
              <w:szCs w:val="24"/>
            </w:rPr>
            <w:fldChar w:fldCharType="end"/>
          </w:r>
        </w:p>
        <w:p w14:paraId="5A243919">
          <w:pPr>
            <w:pStyle w:val="13"/>
            <w:tabs>
              <w:tab w:val="right" w:leader="dot" w:pos="8296"/>
            </w:tabs>
            <w:ind w:firstLine="402"/>
            <w:rPr>
              <w:rFonts w:cstheme="minorBidi"/>
              <w:b w:val="0"/>
              <w:bCs w:val="0"/>
              <w:caps w:val="0"/>
              <w:sz w:val="24"/>
              <w:szCs w:val="24"/>
            </w:rPr>
          </w:pPr>
          <w:r>
            <w:fldChar w:fldCharType="begin"/>
          </w:r>
          <w:r>
            <w:instrText xml:space="preserve"> HYPERLINK \l "_Toc13645288" </w:instrText>
          </w:r>
          <w:r>
            <w:fldChar w:fldCharType="separate"/>
          </w:r>
          <w:r>
            <w:rPr>
              <w:rStyle w:val="22"/>
              <w:sz w:val="24"/>
              <w:szCs w:val="24"/>
            </w:rPr>
            <w:t>四、2018年度排水管网维护保养与管理项目绩效自评表</w:t>
          </w:r>
          <w:r>
            <w:rPr>
              <w:sz w:val="24"/>
              <w:szCs w:val="24"/>
            </w:rPr>
            <w:tab/>
          </w:r>
          <w:r>
            <w:rPr>
              <w:sz w:val="24"/>
              <w:szCs w:val="24"/>
            </w:rPr>
            <w:fldChar w:fldCharType="begin"/>
          </w:r>
          <w:r>
            <w:rPr>
              <w:sz w:val="24"/>
              <w:szCs w:val="24"/>
            </w:rPr>
            <w:instrText xml:space="preserve"> PAGEREF _Toc13645288 \h </w:instrText>
          </w:r>
          <w:r>
            <w:rPr>
              <w:sz w:val="24"/>
              <w:szCs w:val="24"/>
            </w:rPr>
            <w:fldChar w:fldCharType="separate"/>
          </w:r>
          <w:r>
            <w:rPr>
              <w:sz w:val="24"/>
              <w:szCs w:val="24"/>
            </w:rPr>
            <w:t>10</w:t>
          </w:r>
          <w:r>
            <w:rPr>
              <w:sz w:val="24"/>
              <w:szCs w:val="24"/>
            </w:rPr>
            <w:fldChar w:fldCharType="end"/>
          </w:r>
          <w:r>
            <w:rPr>
              <w:sz w:val="24"/>
              <w:szCs w:val="24"/>
            </w:rPr>
            <w:fldChar w:fldCharType="end"/>
          </w:r>
        </w:p>
        <w:p w14:paraId="54E419A9">
          <w:pPr>
            <w:spacing w:line="440" w:lineRule="exact"/>
            <w:ind w:firstLine="482"/>
            <w:rPr>
              <w:szCs w:val="24"/>
            </w:rPr>
          </w:pPr>
          <w:r>
            <w:rPr>
              <w:b/>
              <w:bCs/>
              <w:szCs w:val="24"/>
              <w:lang w:val="zh-CN"/>
            </w:rPr>
            <w:fldChar w:fldCharType="end"/>
          </w:r>
        </w:p>
      </w:sdtContent>
    </w:sdt>
    <w:p w14:paraId="3F0D0CE9">
      <w:pPr>
        <w:widowControl/>
        <w:spacing w:line="240" w:lineRule="auto"/>
        <w:ind w:firstLine="0" w:firstLineChars="0"/>
        <w:jc w:val="left"/>
        <w:rPr>
          <w:rFonts w:ascii="仿宋_GB2312" w:eastAsia="仿宋_GB2312"/>
          <w:sz w:val="32"/>
          <w:szCs w:val="32"/>
        </w:rPr>
      </w:pPr>
    </w:p>
    <w:p w14:paraId="31A6A9A0">
      <w:pPr>
        <w:snapToGrid w:val="0"/>
        <w:spacing w:line="580" w:lineRule="atLeast"/>
        <w:ind w:firstLine="0" w:firstLineChars="0"/>
        <w:rPr>
          <w:rFonts w:ascii="仿宋_GB2312" w:eastAsia="仿宋_GB2312"/>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14:paraId="12CB9AB8">
      <w:pPr>
        <w:pStyle w:val="2"/>
        <w:ind w:firstLine="0" w:firstLineChars="0"/>
      </w:pPr>
      <w:bookmarkStart w:id="0" w:name="_Toc9665980"/>
      <w:bookmarkStart w:id="1" w:name="_Toc13645266"/>
      <w:r>
        <w:rPr>
          <w:rFonts w:hint="eastAsia"/>
        </w:rPr>
        <w:t>一、项目基本情况</w:t>
      </w:r>
      <w:bookmarkEnd w:id="0"/>
      <w:bookmarkEnd w:id="1"/>
    </w:p>
    <w:p w14:paraId="25CBD453">
      <w:pPr>
        <w:pStyle w:val="3"/>
        <w:ind w:firstLine="482"/>
      </w:pPr>
      <w:bookmarkStart w:id="2" w:name="_Toc9665981"/>
      <w:bookmarkStart w:id="3" w:name="_Toc13645267"/>
      <w:r>
        <w:rPr>
          <w:rFonts w:hint="eastAsia"/>
        </w:rPr>
        <w:t>（一）</w:t>
      </w:r>
      <w:bookmarkEnd w:id="2"/>
      <w:r>
        <w:rPr>
          <w:rFonts w:hint="eastAsia"/>
        </w:rPr>
        <w:t>项目概况</w:t>
      </w:r>
      <w:bookmarkEnd w:id="3"/>
    </w:p>
    <w:p w14:paraId="60804DBF">
      <w:pPr>
        <w:pStyle w:val="4"/>
        <w:ind w:firstLine="482"/>
      </w:pPr>
      <w:bookmarkStart w:id="4" w:name="_Toc9665982"/>
      <w:bookmarkStart w:id="5" w:name="_Toc13645268"/>
      <w:r>
        <w:rPr>
          <w:rFonts w:hint="eastAsia"/>
        </w:rPr>
        <w:t>1、项目</w:t>
      </w:r>
      <w:bookmarkEnd w:id="4"/>
      <w:r>
        <w:rPr>
          <w:rFonts w:hint="eastAsia"/>
        </w:rPr>
        <w:t>内容</w:t>
      </w:r>
      <w:bookmarkEnd w:id="5"/>
    </w:p>
    <w:p w14:paraId="1995C608">
      <w:pPr>
        <w:ind w:firstLine="480"/>
      </w:pPr>
      <w:r>
        <w:rPr>
          <w:rFonts w:hint="eastAsia"/>
        </w:rPr>
        <w:t>武汉市硚口区市政排水设施维修队（以下简称：“排水队”）承担着全区主次干道、一般道路、背街小巷和社区内无物业管理及老旧小区的化粪池出口以外的排水设施的维护、维修和管理；承担所管辖泵站的抽排任务和沿堤排污闸口日常维护保养工作；承担辖区内小型排水设施维修工作及水务“110”接处警工作；承担雨季期间的排渍、应急抢险工作。为做好日常维护和排渍抢险工作，确保辖区公共排水设施完好、排水管网畅通，2018年特申请排水管网维护保养与管理项目（以下简称“本项目”）。</w:t>
      </w:r>
    </w:p>
    <w:p w14:paraId="0ED02927">
      <w:pPr>
        <w:ind w:firstLine="480"/>
      </w:pPr>
      <w:r>
        <w:rPr>
          <w:rFonts w:hint="eastAsia"/>
        </w:rPr>
        <w:t>项目立项依据《武汉市排水管理条例》、《武汉市排水管理许可办法》，项目主要内容：</w:t>
      </w:r>
      <w:r>
        <w:rPr>
          <w:rFonts w:hint="eastAsia"/>
          <w:lang w:val="en-US" w:eastAsia="zh-CN"/>
        </w:rPr>
        <w:t>1.</w:t>
      </w:r>
      <w:r>
        <w:rPr>
          <w:rFonts w:hint="eastAsia"/>
        </w:rPr>
        <w:t>担负全区18条主干道、23条次干道、130条一般道路、250条背街小巷、477.14公里排水管网、55.08公里箱涵、2.25万座进水进、2.48万座检查井、7座排水泵站、闸口2座、疏捞、疏浚、维护、管理；2</w:t>
      </w:r>
      <w:r>
        <w:rPr>
          <w:rFonts w:hint="eastAsia"/>
          <w:lang w:val="en-US" w:eastAsia="zh-CN"/>
        </w:rPr>
        <w:t>.</w:t>
      </w:r>
      <w:bookmarkStart w:id="28" w:name="_GoBack"/>
      <w:bookmarkEnd w:id="28"/>
      <w:r>
        <w:rPr>
          <w:rFonts w:hint="eastAsia"/>
        </w:rPr>
        <w:t>硚口区三不管的非水务排水管网338KM，进水井1.04万座，检查井2.05万座的疏捞、疏浚、维护、管理。</w:t>
      </w:r>
    </w:p>
    <w:p w14:paraId="369E3FAC">
      <w:pPr>
        <w:pStyle w:val="4"/>
        <w:ind w:firstLine="482"/>
      </w:pPr>
      <w:bookmarkStart w:id="6" w:name="_Toc13645269"/>
      <w:r>
        <w:rPr>
          <w:rFonts w:hint="eastAsia"/>
        </w:rPr>
        <w:t>2</w:t>
      </w:r>
      <w:r>
        <w:t>、</w:t>
      </w:r>
      <w:r>
        <w:rPr>
          <w:rFonts w:hint="eastAsia"/>
        </w:rPr>
        <w:t>项目完成概况</w:t>
      </w:r>
      <w:bookmarkEnd w:id="6"/>
    </w:p>
    <w:p w14:paraId="18B3AAA6">
      <w:pPr>
        <w:ind w:firstLine="480"/>
      </w:pPr>
      <w:r>
        <w:rPr>
          <w:rFonts w:hint="eastAsia"/>
        </w:rPr>
        <w:t>2018年排水队根据日常生产管理任务及计划安排，紧紧围绕“维护、维修、管理、疏捞”的工作职责，以“服务街道、社区、居民”为落脚点，履职尽责，强维护、重服务、践承诺、保平安，圆满完成全年各项工作和目标，确保辖区公共排水设施完好、排水管网畅通，排水队被市委宣传部、市文明办授予“武汉市学雷锋活动示范点”。2018年排水队加强主次干道、一般道路的疏绞和维护，确保排水畅通，累计疏浚排水管网310.3KM；沟管维修63.5米；疏捞井孔68384座，进水井38308，检查井30076；添置井盖座（包括检查井和进水井）782套，进水井384套，检查井398套；维修井盖28座，进水井20套，检查井8套。加强背街小巷、易渍水社区排水管网的维护和疏捞，确保无污水漫溢，深入社区130次，进入社区99个，疏捞井孔19007座，进水井10316座，检查井8691座，疏绞管道59114米。加大汛前排水安全的泵站维护，对排水各泵站机电设施进行全面维护和检修，区属管辖的七座泵站开机率达100%。全年接处大城管、网格化平台等转办件103件，接处警率为100%，服务对象满意度为95%。</w:t>
      </w:r>
    </w:p>
    <w:p w14:paraId="55FD0B9B">
      <w:pPr>
        <w:pStyle w:val="3"/>
        <w:ind w:firstLine="482"/>
      </w:pPr>
      <w:bookmarkStart w:id="7" w:name="_Toc9665984"/>
      <w:bookmarkStart w:id="8" w:name="_Toc13645270"/>
      <w:r>
        <w:rPr>
          <w:rFonts w:hint="eastAsia"/>
        </w:rPr>
        <w:t>（二）</w:t>
      </w:r>
      <w:bookmarkEnd w:id="7"/>
      <w:r>
        <w:rPr>
          <w:rFonts w:hint="eastAsia"/>
        </w:rPr>
        <w:t>项目预算绩效目标</w:t>
      </w:r>
      <w:bookmarkEnd w:id="8"/>
    </w:p>
    <w:p w14:paraId="0F95623A">
      <w:pPr>
        <w:pStyle w:val="4"/>
        <w:ind w:firstLine="482"/>
      </w:pPr>
      <w:bookmarkStart w:id="9" w:name="_Toc13645271"/>
      <w:r>
        <w:rPr>
          <w:rFonts w:hint="eastAsia"/>
        </w:rPr>
        <w:t>1、产出目标</w:t>
      </w:r>
      <w:bookmarkEnd w:id="9"/>
    </w:p>
    <w:p w14:paraId="06CDD8E9">
      <w:pPr>
        <w:ind w:firstLine="480"/>
      </w:pPr>
      <w:r>
        <w:rPr>
          <w:rFonts w:hint="eastAsia"/>
        </w:rPr>
        <w:t>数量指标：进入老旧社区并为其提供排水管网疏通服务的社区数≥70个；全区渍水48小时内处理率100%；进老旧社区排水设施维护次数</w:t>
      </w:r>
      <w:r>
        <w:rPr>
          <w:rFonts w:hint="eastAsia"/>
        </w:rPr>
        <w:tab/>
      </w:r>
      <w:r>
        <w:rPr>
          <w:rFonts w:hint="eastAsia"/>
        </w:rPr>
        <w:t>≥100次；公共排水设施维护疏捞排水井井孔数≥65000座；简报出具期数≥40期；全年接处大城管、市区110投诉转办件数≤120件；全年接处大城管、市区110投诉转办件回复率100%；全年工作总结完成篇数≥1篇；群众遇到问题是否能及时联系到排水队</w:t>
      </w:r>
      <w:r>
        <w:rPr>
          <w:rFonts w:hint="eastAsia"/>
        </w:rPr>
        <w:tab/>
      </w:r>
      <w:r>
        <w:rPr>
          <w:rFonts w:hint="eastAsia"/>
        </w:rPr>
        <w:t>100%；工作任务完成及时率</w:t>
      </w:r>
      <w:r>
        <w:rPr>
          <w:rFonts w:hint="eastAsia"/>
        </w:rPr>
        <w:tab/>
      </w:r>
      <w:r>
        <w:rPr>
          <w:rFonts w:hint="eastAsia"/>
        </w:rPr>
        <w:t>100%；工作人员出勤率</w:t>
      </w:r>
      <w:r>
        <w:rPr>
          <w:rFonts w:hint="eastAsia"/>
        </w:rPr>
        <w:tab/>
      </w:r>
      <w:r>
        <w:rPr>
          <w:rFonts w:hint="eastAsia"/>
        </w:rPr>
        <w:t>100%；军运会排水设施疏捞、添置、维修数量</w:t>
      </w:r>
      <w:r>
        <w:rPr>
          <w:rFonts w:hint="eastAsia"/>
        </w:rPr>
        <w:tab/>
      </w:r>
      <w:r>
        <w:rPr>
          <w:rFonts w:hint="eastAsia"/>
        </w:rPr>
        <w:t>≥5000处。</w:t>
      </w:r>
    </w:p>
    <w:p w14:paraId="10F91E16">
      <w:pPr>
        <w:ind w:firstLine="480"/>
        <w:rPr>
          <w:highlight w:val="yellow"/>
        </w:rPr>
      </w:pPr>
      <w:r>
        <w:rPr>
          <w:rFonts w:hint="eastAsia"/>
        </w:rPr>
        <w:t>质量指标：井盖座添置质量合格率</w:t>
      </w:r>
      <w:r>
        <w:rPr>
          <w:rFonts w:hint="eastAsia"/>
        </w:rPr>
        <w:tab/>
      </w:r>
      <w:r>
        <w:rPr>
          <w:rFonts w:hint="eastAsia"/>
        </w:rPr>
        <w:t>100%；泵站机电设备启动率100%；排水日常维护工作质量达标率</w:t>
      </w:r>
      <w:r>
        <w:rPr>
          <w:rFonts w:hint="eastAsia"/>
        </w:rPr>
        <w:tab/>
      </w:r>
      <w:r>
        <w:rPr>
          <w:rFonts w:hint="eastAsia"/>
        </w:rPr>
        <w:t>≥95%。</w:t>
      </w:r>
    </w:p>
    <w:p w14:paraId="3084F7E4">
      <w:pPr>
        <w:pStyle w:val="4"/>
        <w:ind w:firstLine="482"/>
      </w:pPr>
      <w:bookmarkStart w:id="10" w:name="_Toc13645272"/>
      <w:r>
        <w:rPr>
          <w:rFonts w:hint="eastAsia"/>
        </w:rPr>
        <w:t>2、效果目标</w:t>
      </w:r>
      <w:bookmarkEnd w:id="10"/>
    </w:p>
    <w:p w14:paraId="64CF1CA1">
      <w:pPr>
        <w:ind w:firstLine="480"/>
      </w:pPr>
      <w:r>
        <w:rPr>
          <w:rFonts w:hint="eastAsia"/>
        </w:rPr>
        <w:t>社会效益：提高群众出行舒适度为≥9</w:t>
      </w:r>
      <w:r>
        <w:t>0</w:t>
      </w:r>
      <w:r>
        <w:rPr>
          <w:rFonts w:hint="eastAsia"/>
        </w:rPr>
        <w:t>%；项目具有可持续性影响，服务对象满意度为9</w:t>
      </w:r>
      <w:r>
        <w:t>0</w:t>
      </w:r>
      <w:r>
        <w:rPr>
          <w:rFonts w:hint="eastAsia"/>
        </w:rPr>
        <w:t>%；获得荣誉证书。</w:t>
      </w:r>
    </w:p>
    <w:p w14:paraId="16C81B8E">
      <w:pPr>
        <w:ind w:firstLine="480"/>
        <w:rPr>
          <w:highlight w:val="yellow"/>
        </w:rPr>
      </w:pPr>
      <w:r>
        <w:rPr>
          <w:rFonts w:hint="eastAsia"/>
        </w:rPr>
        <w:t>生态效益：淤泥处置与运输情况良好。</w:t>
      </w:r>
    </w:p>
    <w:p w14:paraId="4833FE53">
      <w:pPr>
        <w:pStyle w:val="2"/>
        <w:ind w:firstLine="482"/>
      </w:pPr>
      <w:bookmarkStart w:id="11" w:name="_Toc13645273"/>
      <w:r>
        <w:rPr>
          <w:rFonts w:hint="eastAsia"/>
        </w:rPr>
        <w:t>二、项目绩效分析</w:t>
      </w:r>
      <w:bookmarkEnd w:id="11"/>
    </w:p>
    <w:p w14:paraId="00828780">
      <w:pPr>
        <w:pStyle w:val="3"/>
        <w:ind w:firstLine="482"/>
      </w:pPr>
      <w:bookmarkStart w:id="12" w:name="_Toc13645274"/>
      <w:r>
        <w:rPr>
          <w:rFonts w:hint="eastAsia"/>
        </w:rPr>
        <w:t>（一）项目管理情况</w:t>
      </w:r>
      <w:bookmarkEnd w:id="12"/>
    </w:p>
    <w:p w14:paraId="0E98C914">
      <w:pPr>
        <w:pStyle w:val="4"/>
        <w:ind w:firstLine="482"/>
      </w:pPr>
      <w:bookmarkStart w:id="13" w:name="_Toc13645275"/>
      <w:r>
        <w:t>1、</w:t>
      </w:r>
      <w:r>
        <w:rPr>
          <w:rFonts w:hint="eastAsia"/>
        </w:rPr>
        <w:t>业务管理情况</w:t>
      </w:r>
      <w:bookmarkEnd w:id="13"/>
    </w:p>
    <w:p w14:paraId="083C8200">
      <w:pPr>
        <w:pStyle w:val="29"/>
        <w:numPr>
          <w:ilvl w:val="0"/>
          <w:numId w:val="1"/>
        </w:numPr>
        <w:ind w:firstLineChars="0"/>
      </w:pPr>
      <w:r>
        <w:rPr>
          <w:rFonts w:hint="eastAsia"/>
        </w:rPr>
        <w:t>项目基础资料齐备</w:t>
      </w:r>
    </w:p>
    <w:p w14:paraId="34F95A3F">
      <w:pPr>
        <w:ind w:firstLine="480" w:firstLineChars="0"/>
      </w:pPr>
      <w:r>
        <w:rPr>
          <w:rFonts w:hint="eastAsia"/>
        </w:rPr>
        <w:t>排水队2018年项目过程管理注重资料的规范、归档保管、项目资料主要有预算编制说明及预算批复、决算报表及编制说明、会计账簿、会计凭证、财政支出授权支付单据、银行存款对账单及银行存款余额调节表，以上资料由会计人员负责保管存档。对项目工作过程进行了分类记录，例如：排水队2018年排水设施巡查记录表、2018年社区长效管理统计表、2018年维修生产月报表、水务110联动及居民投诉接处警情况记录表等，保证了排水疏捞工作的数量和质量。</w:t>
      </w:r>
    </w:p>
    <w:p w14:paraId="74A648C7">
      <w:pPr>
        <w:ind w:left="480" w:firstLine="0" w:firstLineChars="0"/>
      </w:pPr>
      <w:r>
        <w:rPr>
          <w:rFonts w:hint="eastAsia"/>
        </w:rPr>
        <w:t>（2）项目质量控制采取的措施</w:t>
      </w:r>
    </w:p>
    <w:p w14:paraId="3809E414">
      <w:pPr>
        <w:ind w:firstLine="480" w:firstLineChars="0"/>
      </w:pPr>
      <w:r>
        <w:rPr>
          <w:rFonts w:hint="eastAsia"/>
        </w:rPr>
        <w:t>排水队2018年对项目加大考核力度，坚持定性与定量相结合的维护绞管考评考核机制，每月上旬由分管队长牵头、各段段长组成的考核小组对上月下达的工作计划进行考核，严格按市水务局行业标准进行定性考核，对疏捞段每日的疏捞淤泥量和每月抽查的情况进行定量考核，同时在工作会上通报考核检查情况，确保考核检查不走过场，落到实处，保证项目实施的质量。</w:t>
      </w:r>
    </w:p>
    <w:p w14:paraId="727F4DBC">
      <w:pPr>
        <w:ind w:left="480" w:firstLine="0" w:firstLineChars="0"/>
      </w:pPr>
      <w:r>
        <w:rPr>
          <w:rFonts w:hint="eastAsia"/>
        </w:rPr>
        <w:t>（3）项目验收情况</w:t>
      </w:r>
    </w:p>
    <w:p w14:paraId="4699412B">
      <w:pPr>
        <w:ind w:firstLine="480" w:firstLineChars="0"/>
      </w:pPr>
      <w:r>
        <w:rPr>
          <w:rFonts w:hint="eastAsia"/>
        </w:rPr>
        <w:t>排水队2018年每月对硚口区市政排水设施维护管理进行检查评分，评分内容包括淤泥数量，检查井、进水井沉泥量管道畅通，进水井、检查井盖、沟盖板完好无缺损，排水110接处警四个方面。从检查评价表上看，2018年市政排水设施维护管理得分均在80分以上，排水设施维护管理效果良好。</w:t>
      </w:r>
    </w:p>
    <w:p w14:paraId="07B5958D">
      <w:pPr>
        <w:ind w:firstLine="480" w:firstLineChars="0"/>
      </w:pPr>
      <w:r>
        <w:rPr>
          <w:rFonts w:hint="eastAsia"/>
        </w:rPr>
        <w:t>排水队2018年对排水设施进行巡查，形成巡查记录表，巡查路段按区域分解为四个路段，每个路段又分解为不同线路，排水队每月都每个路段的每条线路的排水设施进行检查，如发现问题，及时解决。经查看排水设施巡查记录，排水队对发现排水设施问题均已处理，并形成排水维修生产原始报表，报表中均有填报人、审核人及段长签字确认。</w:t>
      </w:r>
    </w:p>
    <w:p w14:paraId="7869B94F">
      <w:pPr>
        <w:ind w:firstLine="480" w:firstLineChars="0"/>
      </w:pPr>
      <w:r>
        <w:rPr>
          <w:rFonts w:hint="eastAsia"/>
        </w:rPr>
        <w:t>排水队2018年对排水检查井盖抢修工作委托给武汉勤慧达工程有限公司，每次结算清单中均有现场施工图片及验收人员签字确认。</w:t>
      </w:r>
    </w:p>
    <w:p w14:paraId="4DDFA7E3">
      <w:pPr>
        <w:ind w:firstLine="480" w:firstLineChars="0"/>
      </w:pPr>
      <w:r>
        <w:rPr>
          <w:rFonts w:hint="eastAsia"/>
        </w:rPr>
        <w:t>2018年区水务110联动及居民投诉接处警情况，排水队将每次接处警情况进行记录，编制成册，110联动及居民接处警情况记录表内容包括诉求人信息，诉求内容，值班员，办理人，办理情况，回访情况，回复情况等信息，经查看2018年区水务110联动及居民投诉接处警记录表，群众诉求内容均已得到回复，大部分回访情况均是满意。</w:t>
      </w:r>
    </w:p>
    <w:p w14:paraId="18BE9065">
      <w:pPr>
        <w:pStyle w:val="4"/>
        <w:ind w:firstLine="482"/>
      </w:pPr>
      <w:bookmarkStart w:id="14" w:name="_Toc13645276"/>
      <w:r>
        <w:rPr>
          <w:rFonts w:hint="eastAsia"/>
        </w:rPr>
        <w:t>2、财务管理情况</w:t>
      </w:r>
      <w:bookmarkEnd w:id="14"/>
    </w:p>
    <w:p w14:paraId="7902EA4C">
      <w:pPr>
        <w:ind w:firstLine="480" w:firstLineChars="0"/>
      </w:pPr>
      <w:r>
        <w:rPr>
          <w:rFonts w:hint="eastAsia"/>
        </w:rPr>
        <w:t>本项目年初预算金额</w:t>
      </w:r>
      <w:r>
        <w:t>5</w:t>
      </w:r>
      <w:r>
        <w:rPr>
          <w:rFonts w:hint="eastAsia"/>
        </w:rPr>
        <w:t>,</w:t>
      </w:r>
      <w:r>
        <w:t>914</w:t>
      </w:r>
      <w:r>
        <w:rPr>
          <w:rFonts w:hint="eastAsia"/>
        </w:rPr>
        <w:t>,</w:t>
      </w:r>
      <w:r>
        <w:t>326</w:t>
      </w:r>
      <w:r>
        <w:rPr>
          <w:rFonts w:hint="eastAsia"/>
        </w:rPr>
        <w:t>.00元，资金来源于区级财政资金，截止2018年12月31日，实际发生经费支出</w:t>
      </w:r>
      <w:r>
        <w:t>5</w:t>
      </w:r>
      <w:r>
        <w:rPr>
          <w:rFonts w:hint="eastAsia"/>
        </w:rPr>
        <w:t>,</w:t>
      </w:r>
      <w:r>
        <w:t>91</w:t>
      </w:r>
      <w:r>
        <w:rPr>
          <w:rFonts w:hint="eastAsia"/>
        </w:rPr>
        <w:t>2,</w:t>
      </w:r>
      <w:r>
        <w:t>326</w:t>
      </w:r>
      <w:r>
        <w:rPr>
          <w:rFonts w:hint="eastAsia"/>
        </w:rPr>
        <w:t>.00元，其中：办公费</w:t>
      </w:r>
      <w:r>
        <w:t>960</w:t>
      </w:r>
      <w:r>
        <w:rPr>
          <w:rFonts w:hint="eastAsia"/>
        </w:rPr>
        <w:t>.00元、维修（护）费</w:t>
      </w:r>
      <w:r>
        <w:rPr>
          <w:rFonts w:hint="eastAsia"/>
          <w:color w:val="FF0000"/>
        </w:rPr>
        <w:t>（排水设施综合维护）</w:t>
      </w:r>
      <w:r>
        <w:t>1</w:t>
      </w:r>
      <w:r>
        <w:rPr>
          <w:rFonts w:hint="eastAsia"/>
        </w:rPr>
        <w:t>,</w:t>
      </w:r>
      <w:r>
        <w:t>020</w:t>
      </w:r>
      <w:r>
        <w:rPr>
          <w:rFonts w:hint="eastAsia"/>
        </w:rPr>
        <w:t>,</w:t>
      </w:r>
      <w:r>
        <w:t>876.96</w:t>
      </w:r>
      <w:r>
        <w:rPr>
          <w:rFonts w:hint="eastAsia"/>
        </w:rPr>
        <w:t>元、专用燃料费</w:t>
      </w:r>
      <w:r>
        <w:rPr>
          <w:rFonts w:hint="eastAsia"/>
          <w:color w:val="FF0000"/>
        </w:rPr>
        <w:t>（作业车用汽油）</w:t>
      </w:r>
      <w:r>
        <w:t>200</w:t>
      </w:r>
      <w:r>
        <w:rPr>
          <w:rFonts w:hint="eastAsia"/>
        </w:rPr>
        <w:t>,</w:t>
      </w:r>
      <w:r>
        <w:t>000</w:t>
      </w:r>
      <w:r>
        <w:rPr>
          <w:rFonts w:hint="eastAsia"/>
        </w:rPr>
        <w:t>.00元、劳务费（农民工及人事代理和人才派遣人员支出）</w:t>
      </w:r>
      <w:r>
        <w:t>3</w:t>
      </w:r>
      <w:r>
        <w:rPr>
          <w:rFonts w:hint="eastAsia"/>
        </w:rPr>
        <w:t>,</w:t>
      </w:r>
      <w:r>
        <w:t>511</w:t>
      </w:r>
      <w:r>
        <w:rPr>
          <w:rFonts w:hint="eastAsia"/>
        </w:rPr>
        <w:t>,</w:t>
      </w:r>
      <w:r>
        <w:t>188.05</w:t>
      </w:r>
      <w:r>
        <w:rPr>
          <w:rFonts w:hint="eastAsia"/>
        </w:rPr>
        <w:t>元、其他交通费</w:t>
      </w:r>
      <w:r>
        <w:rPr>
          <w:rFonts w:hint="eastAsia"/>
          <w:color w:val="FF0000"/>
        </w:rPr>
        <w:t>（指作业车保险、维修等费用）</w:t>
      </w:r>
      <w:r>
        <w:t>443</w:t>
      </w:r>
      <w:r>
        <w:rPr>
          <w:rFonts w:hint="eastAsia"/>
        </w:rPr>
        <w:t>,</w:t>
      </w:r>
      <w:r>
        <w:t>102.99</w:t>
      </w:r>
      <w:r>
        <w:rPr>
          <w:rFonts w:hint="eastAsia"/>
        </w:rPr>
        <w:t>元、资本性支出</w:t>
      </w:r>
      <w:r>
        <w:rPr>
          <w:rFonts w:hint="eastAsia"/>
          <w:color w:val="FF0000"/>
        </w:rPr>
        <w:t>（主要是购作业车支出）</w:t>
      </w:r>
      <w:r>
        <w:t>736</w:t>
      </w:r>
      <w:r>
        <w:rPr>
          <w:rFonts w:hint="eastAsia"/>
        </w:rPr>
        <w:t>,</w:t>
      </w:r>
      <w:r>
        <w:t>198</w:t>
      </w:r>
      <w:r>
        <w:rPr>
          <w:rFonts w:hint="eastAsia"/>
        </w:rPr>
        <w:t>.00元，预算执行率99.9</w:t>
      </w:r>
      <w:r>
        <w:t>7</w:t>
      </w:r>
      <w:r>
        <w:rPr>
          <w:rFonts w:hint="eastAsia"/>
        </w:rPr>
        <w:t>%，预算完成情况较好。</w:t>
      </w:r>
    </w:p>
    <w:p w14:paraId="4BA614D4">
      <w:pPr>
        <w:pStyle w:val="3"/>
        <w:ind w:firstLine="482"/>
      </w:pPr>
      <w:bookmarkStart w:id="15" w:name="_Toc13645277"/>
      <w:r>
        <w:rPr>
          <w:rFonts w:hint="eastAsia"/>
        </w:rPr>
        <w:t>（二）项目预算绩效目标完成情况</w:t>
      </w:r>
      <w:bookmarkEnd w:id="15"/>
    </w:p>
    <w:p w14:paraId="374559C3">
      <w:pPr>
        <w:pStyle w:val="4"/>
        <w:ind w:firstLine="482"/>
      </w:pPr>
      <w:bookmarkStart w:id="16" w:name="_Toc13645278"/>
      <w:r>
        <w:rPr>
          <w:rFonts w:hint="eastAsia"/>
        </w:rPr>
        <w:t>1、产出目标</w:t>
      </w:r>
      <w:bookmarkEnd w:id="16"/>
    </w:p>
    <w:p w14:paraId="0BDDA785">
      <w:pPr>
        <w:ind w:firstLine="480"/>
        <w:rPr>
          <w:highlight w:val="yellow"/>
        </w:rPr>
      </w:pPr>
      <w:r>
        <w:rPr>
          <w:rFonts w:hint="eastAsia"/>
        </w:rPr>
        <w:t>评价设定分值40分，综合评价得分</w:t>
      </w:r>
      <w:r>
        <w:t>39</w:t>
      </w:r>
      <w:r>
        <w:rPr>
          <w:rFonts w:hint="eastAsia"/>
        </w:rPr>
        <w:t>分，得分率</w:t>
      </w:r>
      <w:r>
        <w:t>97.50</w:t>
      </w:r>
      <w:r>
        <w:rPr>
          <w:rFonts w:hint="eastAsia"/>
        </w:rPr>
        <w:t>%。</w:t>
      </w:r>
    </w:p>
    <w:p w14:paraId="5274A14F">
      <w:pPr>
        <w:ind w:firstLine="480"/>
      </w:pPr>
      <w:r>
        <w:rPr>
          <w:rFonts w:hint="eastAsia"/>
        </w:rPr>
        <w:t>（1）进入老旧社区并为其提供排水管网疏通服务的社区数（3分）</w:t>
      </w:r>
    </w:p>
    <w:p w14:paraId="5ED181FD">
      <w:pPr>
        <w:ind w:firstLine="480"/>
      </w:pPr>
      <w:r>
        <w:rPr>
          <w:rFonts w:hint="eastAsia"/>
        </w:rPr>
        <w:t>指标目标值≥70个,设定分值3分，实际完成99个，得3分。</w:t>
      </w:r>
    </w:p>
    <w:p w14:paraId="071E5B79">
      <w:pPr>
        <w:ind w:firstLine="480"/>
      </w:pPr>
      <w:r>
        <w:rPr>
          <w:rFonts w:hint="eastAsia"/>
        </w:rPr>
        <w:t>2018年重点开展社区排水设施隐患大排查，有计划地开展了社区排水管网疏捞、更换破损井盖工作，提高社区排水设施安全，确保居民出行无忧。全年进入社区99个，其中包括学苑社区、祥和社区、宝丰社区、宝地社区、中山社区等。</w:t>
      </w:r>
    </w:p>
    <w:p w14:paraId="14056947">
      <w:pPr>
        <w:ind w:firstLine="480"/>
      </w:pPr>
      <w:r>
        <w:rPr>
          <w:rFonts w:hint="eastAsia"/>
        </w:rPr>
        <w:t>（2）全区渍水48小时内处理率（3分）</w:t>
      </w:r>
    </w:p>
    <w:p w14:paraId="15ECC08F">
      <w:pPr>
        <w:ind w:firstLine="480"/>
      </w:pPr>
      <w:r>
        <w:rPr>
          <w:rFonts w:hint="eastAsia"/>
        </w:rPr>
        <w:t>指标目标值100%,设定分值3分，实际完成100%，得3分。</w:t>
      </w:r>
    </w:p>
    <w:p w14:paraId="5E29F291">
      <w:pPr>
        <w:ind w:firstLine="480"/>
      </w:pPr>
      <w:r>
        <w:rPr>
          <w:rFonts w:hint="eastAsia"/>
        </w:rPr>
        <w:t>全区发生公共排水管道堵塞、井盖破坏、缺失、渍水等问题，排水队确保1小时内到达现场，48小时内处理完毕。</w:t>
      </w:r>
    </w:p>
    <w:p w14:paraId="5E95B7A6">
      <w:pPr>
        <w:ind w:firstLine="480"/>
      </w:pPr>
      <w:r>
        <w:rPr>
          <w:rFonts w:hint="eastAsia"/>
        </w:rPr>
        <w:t>（3）进老旧社区排水设施维护次数（3分）</w:t>
      </w:r>
    </w:p>
    <w:p w14:paraId="0849D502">
      <w:pPr>
        <w:ind w:firstLine="480"/>
      </w:pPr>
      <w:r>
        <w:rPr>
          <w:rFonts w:hint="eastAsia"/>
        </w:rPr>
        <w:t>指标目标值≥100次,设定分值3分，实际完成</w:t>
      </w:r>
      <w:r>
        <w:rPr>
          <w:rFonts w:hint="eastAsia"/>
        </w:rPr>
        <w:tab/>
      </w:r>
      <w:r>
        <w:rPr>
          <w:rFonts w:hint="eastAsia"/>
        </w:rPr>
        <w:t>130次，得3分。</w:t>
      </w:r>
    </w:p>
    <w:p w14:paraId="115D6D80">
      <w:pPr>
        <w:ind w:firstLine="480"/>
      </w:pPr>
      <w:r>
        <w:rPr>
          <w:rFonts w:hint="eastAsia"/>
        </w:rPr>
        <w:t>2018年度排水队深入社区130次，疏捞井孔19007座，进水井10316座，检查井8691座，疏绞管道59114米。</w:t>
      </w:r>
    </w:p>
    <w:p w14:paraId="7C8C62C9">
      <w:pPr>
        <w:ind w:firstLine="480"/>
      </w:pPr>
      <w:r>
        <w:rPr>
          <w:rFonts w:hint="eastAsia"/>
        </w:rPr>
        <w:t>（4）公共排水设施维护疏捞排水井井孔数（3分）</w:t>
      </w:r>
    </w:p>
    <w:p w14:paraId="1C199E8A">
      <w:pPr>
        <w:ind w:firstLine="480"/>
      </w:pPr>
      <w:r>
        <w:rPr>
          <w:rFonts w:hint="eastAsia"/>
        </w:rPr>
        <w:t>指标目标值≥65000座</w:t>
      </w:r>
      <w:r>
        <w:rPr>
          <w:rFonts w:hint="eastAsia"/>
        </w:rPr>
        <w:tab/>
      </w:r>
      <w:r>
        <w:rPr>
          <w:rFonts w:hint="eastAsia"/>
        </w:rPr>
        <w:t>,设定分值3分，实际完成68384座，得3分。</w:t>
      </w:r>
    </w:p>
    <w:p w14:paraId="40590AC0">
      <w:pPr>
        <w:ind w:firstLine="480"/>
      </w:pPr>
      <w:r>
        <w:rPr>
          <w:rFonts w:hint="eastAsia"/>
        </w:rPr>
        <w:t>2018年排水队以主、次干道大型管涵的疏绞和维护为主体，对建一路、解放大道、长丰大道、建设大道、多福路、工农路等主次干道进行重点疏捞和维护，疏捞井孔68384座（其中：进水井38308座，检查井30076座。）</w:t>
      </w:r>
    </w:p>
    <w:p w14:paraId="7E101251">
      <w:pPr>
        <w:ind w:firstLine="480"/>
      </w:pPr>
      <w:r>
        <w:rPr>
          <w:rFonts w:hint="eastAsia"/>
        </w:rPr>
        <w:t>（5）简报出具期数（2分）</w:t>
      </w:r>
    </w:p>
    <w:p w14:paraId="0C81B05F">
      <w:pPr>
        <w:ind w:firstLine="480"/>
      </w:pPr>
      <w:r>
        <w:rPr>
          <w:rFonts w:hint="eastAsia"/>
        </w:rPr>
        <w:t>指标目标值≥40期,设定分值2分，实际完成</w:t>
      </w:r>
      <w:r>
        <w:rPr>
          <w:rFonts w:hint="eastAsia"/>
        </w:rPr>
        <w:tab/>
      </w:r>
      <w:r>
        <w:rPr>
          <w:rFonts w:hint="eastAsia"/>
        </w:rPr>
        <w:t>44期，得2分。</w:t>
      </w:r>
    </w:p>
    <w:p w14:paraId="78234EBB">
      <w:pPr>
        <w:ind w:firstLine="480"/>
      </w:pPr>
      <w:r>
        <w:rPr>
          <w:rFonts w:hint="eastAsia"/>
        </w:rPr>
        <w:t>计划全年出简报40期，实际全年共出简报44期，其中包括：雨雪天气疏捞忙  服务万家保畅通---排水队全面展开”清管渠  畅排水“活动、硚口区排水队多措施并举应对低温雨雪天气、区领导慰问排水疏捞一线职工等。</w:t>
      </w:r>
    </w:p>
    <w:p w14:paraId="374BED18">
      <w:pPr>
        <w:ind w:firstLine="480"/>
      </w:pPr>
      <w:r>
        <w:rPr>
          <w:rFonts w:hint="eastAsia"/>
        </w:rPr>
        <w:t>（6）全年接处大城管、市区110投投诉转办件数（2分）</w:t>
      </w:r>
    </w:p>
    <w:p w14:paraId="30261EAA">
      <w:pPr>
        <w:ind w:firstLine="480"/>
      </w:pPr>
      <w:r>
        <w:rPr>
          <w:rFonts w:hint="eastAsia"/>
        </w:rPr>
        <w:t>指标目标值≤120件,设定分值2分，实际完成</w:t>
      </w:r>
      <w:r>
        <w:rPr>
          <w:rFonts w:hint="eastAsia"/>
        </w:rPr>
        <w:tab/>
      </w:r>
      <w:r>
        <w:rPr>
          <w:rFonts w:hint="eastAsia"/>
        </w:rPr>
        <w:t>103件，得2分。</w:t>
      </w:r>
    </w:p>
    <w:p w14:paraId="3886DF22">
      <w:pPr>
        <w:ind w:firstLine="480"/>
      </w:pPr>
      <w:r>
        <w:rPr>
          <w:rFonts w:hint="eastAsia"/>
        </w:rPr>
        <w:t>截止2018年12月31日，接处大城管、网格化平台等转办件103件。</w:t>
      </w:r>
    </w:p>
    <w:p w14:paraId="411B1A09">
      <w:pPr>
        <w:ind w:firstLine="480"/>
      </w:pPr>
      <w:r>
        <w:rPr>
          <w:rFonts w:hint="eastAsia"/>
        </w:rPr>
        <w:t>（7）全年接处大城管、市区110投诉转办件回复率（2分）</w:t>
      </w:r>
    </w:p>
    <w:p w14:paraId="260A0BD0">
      <w:pPr>
        <w:ind w:firstLine="480"/>
      </w:pPr>
      <w:r>
        <w:rPr>
          <w:rFonts w:hint="eastAsia"/>
        </w:rPr>
        <w:t>指标目标值100%,设定分值2分，实际完成100%，得2分。</w:t>
      </w:r>
    </w:p>
    <w:p w14:paraId="542EA29F">
      <w:pPr>
        <w:ind w:firstLine="480"/>
      </w:pPr>
      <w:r>
        <w:rPr>
          <w:rFonts w:hint="eastAsia"/>
        </w:rPr>
        <w:t>全年接处大城管、市区110投投诉转办件回复率100%。</w:t>
      </w:r>
    </w:p>
    <w:p w14:paraId="1A4E4E39">
      <w:pPr>
        <w:ind w:firstLine="480"/>
      </w:pPr>
      <w:r>
        <w:rPr>
          <w:rFonts w:hint="eastAsia"/>
        </w:rPr>
        <w:t>（8）全年工作总结完成篇数（2分）</w:t>
      </w:r>
    </w:p>
    <w:p w14:paraId="18325774">
      <w:pPr>
        <w:ind w:firstLine="480"/>
      </w:pPr>
      <w:r>
        <w:rPr>
          <w:rFonts w:hint="eastAsia"/>
        </w:rPr>
        <w:t>指标目标值≥1篇,设定分值2分，实际完成1篇，得2分。</w:t>
      </w:r>
    </w:p>
    <w:p w14:paraId="755C3C3A">
      <w:pPr>
        <w:ind w:firstLine="480"/>
      </w:pPr>
      <w:r>
        <w:rPr>
          <w:rFonts w:hint="eastAsia"/>
        </w:rPr>
        <w:t>全年工作总结完成1篇，具体为排水队2018年工作总结。</w:t>
      </w:r>
    </w:p>
    <w:p w14:paraId="03392AE6">
      <w:pPr>
        <w:ind w:firstLine="480"/>
      </w:pPr>
      <w:r>
        <w:rPr>
          <w:rFonts w:hint="eastAsia"/>
        </w:rPr>
        <w:t>（9）群众遇到问题是否能及时联系到排水队（2分）</w:t>
      </w:r>
    </w:p>
    <w:p w14:paraId="46E5F668">
      <w:pPr>
        <w:ind w:firstLine="480"/>
      </w:pPr>
      <w:r>
        <w:rPr>
          <w:rFonts w:hint="eastAsia"/>
        </w:rPr>
        <w:t>指标目标值100%,设定分值2分，实际完成100%，得2分。</w:t>
      </w:r>
    </w:p>
    <w:p w14:paraId="291C1B8D">
      <w:pPr>
        <w:ind w:firstLine="480"/>
      </w:pPr>
      <w:r>
        <w:rPr>
          <w:rFonts w:hint="eastAsia"/>
        </w:rPr>
        <w:t>根据调查问卷结果，群众在遇到路面渍水或者井盖破损等问题知道方式及时联系排水队的问卷调查率为100%。</w:t>
      </w:r>
    </w:p>
    <w:p w14:paraId="5B3CA0EE">
      <w:pPr>
        <w:ind w:firstLine="480"/>
      </w:pPr>
      <w:r>
        <w:rPr>
          <w:rFonts w:hint="eastAsia"/>
        </w:rPr>
        <w:t>（10）工作任务完成及时率（3分）</w:t>
      </w:r>
    </w:p>
    <w:p w14:paraId="22E64C8E">
      <w:pPr>
        <w:ind w:firstLine="480"/>
      </w:pPr>
      <w:r>
        <w:rPr>
          <w:rFonts w:hint="eastAsia"/>
        </w:rPr>
        <w:t>指标目标值100%,设定分值3分，实际完成100%，得3分。</w:t>
      </w:r>
    </w:p>
    <w:p w14:paraId="3275BA10">
      <w:pPr>
        <w:ind w:firstLine="480"/>
      </w:pPr>
      <w:r>
        <w:rPr>
          <w:rFonts w:hint="eastAsia"/>
        </w:rPr>
        <w:t>计划完成时间为2018年12月底，实际完成时间均在此之前，各项任务均按时完成。</w:t>
      </w:r>
    </w:p>
    <w:p w14:paraId="736C5E3A">
      <w:pPr>
        <w:ind w:firstLine="480"/>
      </w:pPr>
      <w:r>
        <w:rPr>
          <w:rFonts w:hint="eastAsia"/>
        </w:rPr>
        <w:t>（11）工作人员出勤率（3分）</w:t>
      </w:r>
    </w:p>
    <w:p w14:paraId="35548ED8">
      <w:pPr>
        <w:ind w:firstLine="480"/>
      </w:pPr>
      <w:r>
        <w:rPr>
          <w:rFonts w:hint="eastAsia"/>
        </w:rPr>
        <w:t>指标目标值100%,设定分值3分，实际出勤率100%，得3分。</w:t>
      </w:r>
    </w:p>
    <w:p w14:paraId="3B0456FE">
      <w:pPr>
        <w:ind w:firstLine="480"/>
      </w:pPr>
      <w:r>
        <w:rPr>
          <w:rFonts w:hint="eastAsia"/>
        </w:rPr>
        <w:t>日常巡查工作出勤率及案件（事件）接处出勤率均为100%。</w:t>
      </w:r>
    </w:p>
    <w:p w14:paraId="5DB79122">
      <w:pPr>
        <w:ind w:firstLine="480"/>
      </w:pPr>
      <w:r>
        <w:rPr>
          <w:rFonts w:hint="eastAsia"/>
        </w:rPr>
        <w:t>（12）军运会排水设施疏捞、添置、维修数量（3分）</w:t>
      </w:r>
    </w:p>
    <w:p w14:paraId="60E9564C">
      <w:pPr>
        <w:ind w:firstLine="480"/>
      </w:pPr>
      <w:r>
        <w:rPr>
          <w:rFonts w:hint="eastAsia"/>
        </w:rPr>
        <w:t>指标目标值≥5000处,设定分值3分，实际完成5323处，得3分。</w:t>
      </w:r>
    </w:p>
    <w:p w14:paraId="30F25E58">
      <w:pPr>
        <w:ind w:firstLine="480"/>
      </w:pPr>
      <w:r>
        <w:rPr>
          <w:rFonts w:hint="eastAsia"/>
        </w:rPr>
        <w:t>排水队疏捞井孔5271座，其中：进水井1699座，检查井3572座，添置井盖座（包括检查井和进水井）48座（进水井32套，检查井16套），维修井盖4座，进水井4套，共计5323处。</w:t>
      </w:r>
    </w:p>
    <w:p w14:paraId="000BECB0">
      <w:pPr>
        <w:ind w:firstLine="480"/>
      </w:pPr>
      <w:r>
        <w:rPr>
          <w:rFonts w:hint="eastAsia"/>
        </w:rPr>
        <w:t>（13）井盖座添置质量合格率（3分）</w:t>
      </w:r>
    </w:p>
    <w:p w14:paraId="2858BE86">
      <w:pPr>
        <w:ind w:firstLine="480"/>
      </w:pPr>
      <w:r>
        <w:rPr>
          <w:rFonts w:hint="eastAsia"/>
        </w:rPr>
        <w:t>指标目标值100%,设定分值3分，实际合格率100%，得3分。</w:t>
      </w:r>
    </w:p>
    <w:p w14:paraId="5B6B8D43">
      <w:pPr>
        <w:ind w:firstLine="480"/>
      </w:pPr>
      <w:r>
        <w:rPr>
          <w:rFonts w:hint="eastAsia"/>
        </w:rPr>
        <w:t>排水井盖、井座完整无缺失，管井沉泥量达标，无死井死管现象，保障排水设施安全运行。井盖座添置质量合格率为100%。</w:t>
      </w:r>
    </w:p>
    <w:p w14:paraId="42074678">
      <w:pPr>
        <w:ind w:firstLine="480"/>
      </w:pPr>
      <w:r>
        <w:rPr>
          <w:rFonts w:hint="eastAsia"/>
        </w:rPr>
        <w:t>（14）泵站机电设备启动率（3分）</w:t>
      </w:r>
    </w:p>
    <w:p w14:paraId="0E512BB1">
      <w:pPr>
        <w:ind w:firstLine="480"/>
      </w:pPr>
      <w:r>
        <w:rPr>
          <w:rFonts w:hint="eastAsia"/>
        </w:rPr>
        <w:t>指标目标值100%个,设定分值3分，实际启动率100%，得3分。</w:t>
      </w:r>
    </w:p>
    <w:p w14:paraId="0F38ED42">
      <w:pPr>
        <w:ind w:firstLine="480"/>
      </w:pPr>
      <w:r>
        <w:rPr>
          <w:rFonts w:hint="eastAsia"/>
        </w:rPr>
        <w:t>排水队对七个泵站（排水队泵站、机场泵站、宗关泵站、肖家地泵站、顺道泵站、沈家庙泵站、南泥湾大桥泵站）的高低压电器柜、水泵机组、捞草机、变压器、拍门、流动泵车等设备进行全面检修维护，保证泵站机电设备启动率为100%。</w:t>
      </w:r>
    </w:p>
    <w:p w14:paraId="7B776E0A">
      <w:pPr>
        <w:ind w:firstLine="480"/>
      </w:pPr>
      <w:r>
        <w:rPr>
          <w:rFonts w:hint="eastAsia"/>
        </w:rPr>
        <w:t>（15）排水日常维护工作质量达标率（3分）</w:t>
      </w:r>
    </w:p>
    <w:p w14:paraId="6B574FF9">
      <w:pPr>
        <w:ind w:firstLine="480"/>
      </w:pPr>
      <w:r>
        <w:rPr>
          <w:rFonts w:hint="eastAsia"/>
        </w:rPr>
        <w:t>指标目标值≥95%,设定分值3分，实际达标率91.67%，得2分。</w:t>
      </w:r>
    </w:p>
    <w:p w14:paraId="63D69955">
      <w:pPr>
        <w:ind w:firstLine="480"/>
      </w:pPr>
      <w:r>
        <w:rPr>
          <w:rFonts w:hint="eastAsia"/>
        </w:rPr>
        <w:t>2018年排水队每月对排水日常维护工作进行检查，其中1、3、4、5、6、7、8、9、10、11、12月，共11个月检查得分均在90分以上，达标。2月份检查得分低于90分，未达标。</w:t>
      </w:r>
    </w:p>
    <w:p w14:paraId="754F5F7C">
      <w:pPr>
        <w:ind w:firstLine="480"/>
      </w:pPr>
      <w:r>
        <w:rPr>
          <w:rFonts w:hint="eastAsia"/>
        </w:rPr>
        <w:t>排水日常维护工作质量达标率=质量达标月份（11个月 ）/实际产出月份（12个月）*100%=91.67%。</w:t>
      </w:r>
    </w:p>
    <w:p w14:paraId="09DFB0E1">
      <w:pPr>
        <w:ind w:firstLine="480"/>
        <w:rPr>
          <w:highlight w:val="yellow"/>
        </w:rPr>
      </w:pPr>
      <w:r>
        <w:rPr>
          <w:rFonts w:hint="eastAsia"/>
        </w:rPr>
        <w:t>指标未达到目标值的原因：1、进水井淤泥超标，2、淤泥车数未完成。</w:t>
      </w:r>
    </w:p>
    <w:p w14:paraId="1E567907">
      <w:pPr>
        <w:pStyle w:val="4"/>
        <w:ind w:firstLine="482"/>
      </w:pPr>
      <w:bookmarkStart w:id="17" w:name="_Toc13645279"/>
      <w:r>
        <w:rPr>
          <w:rFonts w:hint="eastAsia"/>
        </w:rPr>
        <w:t>2、效果目标</w:t>
      </w:r>
      <w:bookmarkEnd w:id="17"/>
    </w:p>
    <w:p w14:paraId="35B4D238">
      <w:pPr>
        <w:ind w:firstLine="480"/>
        <w:rPr>
          <w:highlight w:val="yellow"/>
        </w:rPr>
      </w:pPr>
      <w:r>
        <w:rPr>
          <w:rFonts w:hint="eastAsia"/>
        </w:rPr>
        <w:t>评价设定分值40分，综合评价得分37分，得分率92.5%。</w:t>
      </w:r>
    </w:p>
    <w:p w14:paraId="6179643A">
      <w:pPr>
        <w:ind w:firstLine="480"/>
      </w:pPr>
      <w:r>
        <w:rPr>
          <w:rFonts w:hint="eastAsia"/>
        </w:rPr>
        <w:t>（1）提高群众出行舒适度（8分）</w:t>
      </w:r>
    </w:p>
    <w:p w14:paraId="1185CCC0">
      <w:pPr>
        <w:ind w:firstLine="480"/>
      </w:pPr>
      <w:r>
        <w:rPr>
          <w:rFonts w:hint="eastAsia"/>
        </w:rPr>
        <w:t>指标目标值≥90%,设定分值8分，实际服务对象满意度100%，得8分。</w:t>
      </w:r>
    </w:p>
    <w:p w14:paraId="5A1FD604">
      <w:pPr>
        <w:ind w:firstLine="480"/>
      </w:pPr>
      <w:r>
        <w:rPr>
          <w:rFonts w:hint="eastAsia"/>
        </w:rPr>
        <w:t>通过根据调查问卷统计结果，有100%的受调查者对硚口区排水队的疏捞工作给予充分肯定，认为提高了他们的出行便捷度。</w:t>
      </w:r>
    </w:p>
    <w:p w14:paraId="06ED07A3">
      <w:pPr>
        <w:ind w:firstLine="480"/>
      </w:pPr>
      <w:r>
        <w:rPr>
          <w:rFonts w:hint="eastAsia"/>
        </w:rPr>
        <w:t>（2）可持续影响（9分）</w:t>
      </w:r>
    </w:p>
    <w:p w14:paraId="0B9E5739">
      <w:pPr>
        <w:ind w:firstLine="480"/>
      </w:pPr>
      <w:r>
        <w:rPr>
          <w:rFonts w:hint="eastAsia"/>
        </w:rPr>
        <w:t>指标目标设定为单位有设置管理机构支持项目实施的后续运行,设定分值5分，有充足的人员配备满足项目实施要求，设定分值</w:t>
      </w:r>
      <w:r>
        <w:t>4</w:t>
      </w:r>
      <w:r>
        <w:rPr>
          <w:rFonts w:hint="eastAsia"/>
        </w:rPr>
        <w:t>分，共计</w:t>
      </w:r>
      <w:r>
        <w:t>9</w:t>
      </w:r>
      <w:r>
        <w:rPr>
          <w:rFonts w:hint="eastAsia"/>
        </w:rPr>
        <w:t>分，实际得分7分。</w:t>
      </w:r>
    </w:p>
    <w:p w14:paraId="2205289F">
      <w:pPr>
        <w:ind w:firstLine="480"/>
      </w:pPr>
      <w:r>
        <w:rPr>
          <w:rFonts w:hint="eastAsia"/>
        </w:rPr>
        <w:t>未完成原因：项目来源区财政资金，项目资金相对足够，但是因为全年的排水设施不断增加，造成排水设施维护经费吃紧的现象；排水队领导班子成员设备不足，专业技术人员比较缺乏职工年龄结构不合理，故扣2分。</w:t>
      </w:r>
    </w:p>
    <w:p w14:paraId="11D84CDB">
      <w:pPr>
        <w:ind w:firstLine="480"/>
      </w:pPr>
      <w:r>
        <w:rPr>
          <w:rFonts w:hint="eastAsia"/>
        </w:rPr>
        <w:t>（3）社会公众或服务对象满意度（7分）</w:t>
      </w:r>
    </w:p>
    <w:p w14:paraId="331C0B99">
      <w:pPr>
        <w:ind w:firstLine="480"/>
      </w:pPr>
      <w:r>
        <w:rPr>
          <w:rFonts w:hint="eastAsia"/>
        </w:rPr>
        <w:t>指标目标值≥90%,设定分值7分，实际服务对象满意度95%，得7分。</w:t>
      </w:r>
    </w:p>
    <w:p w14:paraId="3E0E1725">
      <w:pPr>
        <w:ind w:firstLine="480"/>
      </w:pPr>
      <w:r>
        <w:rPr>
          <w:rFonts w:hint="eastAsia"/>
        </w:rPr>
        <w:t>通过调查问卷统计结果，服务对象满意率为95%。排水队第一时间消除污水漫溢现象，对D</w:t>
      </w:r>
      <w:r>
        <w:t>600MM</w:t>
      </w:r>
      <w:r>
        <w:rPr>
          <w:rFonts w:hint="eastAsia"/>
        </w:rPr>
        <w:t>以下的市政公共排水管道，平均两年疏浚一次，对D</w:t>
      </w:r>
      <w:r>
        <w:t>600MM</w:t>
      </w:r>
      <w:r>
        <w:rPr>
          <w:rFonts w:hint="eastAsia"/>
        </w:rPr>
        <w:t>以下的市政公共排水管道每年疏浚一次，对易渍水的地方每年疏浚四次，服务对象满意度上升。</w:t>
      </w:r>
    </w:p>
    <w:p w14:paraId="407FDB70">
      <w:pPr>
        <w:ind w:firstLine="480"/>
      </w:pPr>
      <w:r>
        <w:rPr>
          <w:rFonts w:hint="eastAsia"/>
        </w:rPr>
        <w:t>（4）荣誉证书（7分）</w:t>
      </w:r>
    </w:p>
    <w:p w14:paraId="79CAEFFE">
      <w:pPr>
        <w:ind w:firstLine="480"/>
      </w:pPr>
      <w:r>
        <w:rPr>
          <w:rFonts w:hint="eastAsia"/>
        </w:rPr>
        <w:t>指标目标值≥5个，设定分值7分，得7分。</w:t>
      </w:r>
    </w:p>
    <w:p w14:paraId="3F275BF4">
      <w:pPr>
        <w:ind w:firstLine="480"/>
      </w:pPr>
      <w:r>
        <w:rPr>
          <w:rFonts w:hint="eastAsia"/>
        </w:rPr>
        <w:t>2018年硚口区市政排水设施维修队被评为“武汉市学雷锋活动示范点”，并获得汉正街药王社区、井南社区、洪湖小区、天顺园南社区、百泽社区、硚创物业公司赠与的7面锦旗。</w:t>
      </w:r>
    </w:p>
    <w:p w14:paraId="3B5B4EB9">
      <w:pPr>
        <w:ind w:firstLine="480"/>
      </w:pPr>
      <w:r>
        <w:rPr>
          <w:rFonts w:hint="eastAsia"/>
        </w:rPr>
        <w:t>（5）淤泥处置与运输情况（9分）</w:t>
      </w:r>
    </w:p>
    <w:p w14:paraId="2BC189D6">
      <w:pPr>
        <w:ind w:firstLine="480"/>
      </w:pPr>
      <w:r>
        <w:rPr>
          <w:rFonts w:hint="eastAsia"/>
        </w:rPr>
        <w:t>指标设定目标值为淤泥处置和运输及时，重视环保工作，未对排水维护工作产生不良影响，设定分值9分。实际得分8分。</w:t>
      </w:r>
    </w:p>
    <w:p w14:paraId="546FE974">
      <w:pPr>
        <w:ind w:firstLine="480"/>
      </w:pPr>
      <w:r>
        <w:rPr>
          <w:rFonts w:hint="eastAsia"/>
        </w:rPr>
        <w:t>未完成原因：下水道淤泥无处堆放和清运，影响到排水维护工作的正常运转，故扣1分。</w:t>
      </w:r>
    </w:p>
    <w:p w14:paraId="75C08B16">
      <w:pPr>
        <w:pStyle w:val="2"/>
        <w:ind w:firstLine="482"/>
      </w:pPr>
      <w:bookmarkStart w:id="18" w:name="_Toc13645280"/>
      <w:r>
        <w:rPr>
          <w:rFonts w:hint="eastAsia"/>
        </w:rPr>
        <w:t>三、绩效评价结论</w:t>
      </w:r>
      <w:bookmarkEnd w:id="18"/>
    </w:p>
    <w:p w14:paraId="173314DC">
      <w:pPr>
        <w:pStyle w:val="3"/>
        <w:ind w:firstLine="482"/>
      </w:pPr>
      <w:bookmarkStart w:id="19" w:name="_Toc13645281"/>
      <w:r>
        <w:rPr>
          <w:rFonts w:hint="eastAsia"/>
        </w:rPr>
        <w:t>（一）绩效评价结论</w:t>
      </w:r>
      <w:bookmarkEnd w:id="19"/>
    </w:p>
    <w:p w14:paraId="3DEAC6A0">
      <w:pPr>
        <w:pStyle w:val="4"/>
        <w:ind w:firstLine="482"/>
      </w:pPr>
      <w:bookmarkStart w:id="20" w:name="_Toc13645282"/>
      <w:r>
        <w:rPr>
          <w:rFonts w:hint="eastAsia"/>
        </w:rPr>
        <w:t>1、绩效评价得分</w:t>
      </w:r>
      <w:bookmarkEnd w:id="20"/>
    </w:p>
    <w:p w14:paraId="437ED5F1">
      <w:pPr>
        <w:ind w:firstLine="480"/>
      </w:pPr>
      <w:r>
        <w:rPr>
          <w:rFonts w:hint="eastAsia"/>
        </w:rPr>
        <w:t>本项目绩效评价得分为</w:t>
      </w:r>
      <w:r>
        <w:t>95.99</w:t>
      </w:r>
      <w:r>
        <w:rPr>
          <w:rFonts w:hint="eastAsia"/>
        </w:rPr>
        <w:t>分，评价结果为“优”。</w:t>
      </w:r>
    </w:p>
    <w:p w14:paraId="1AEF77BB">
      <w:pPr>
        <w:spacing w:line="220" w:lineRule="exact"/>
        <w:ind w:firstLine="480"/>
      </w:pPr>
    </w:p>
    <w:tbl>
      <w:tblPr>
        <w:tblStyle w:val="19"/>
        <w:tblW w:w="8271" w:type="dxa"/>
        <w:tblInd w:w="250" w:type="dxa"/>
        <w:tblLayout w:type="fixed"/>
        <w:tblCellMar>
          <w:top w:w="0" w:type="dxa"/>
          <w:left w:w="108" w:type="dxa"/>
          <w:bottom w:w="0" w:type="dxa"/>
          <w:right w:w="108" w:type="dxa"/>
        </w:tblCellMar>
      </w:tblPr>
      <w:tblGrid>
        <w:gridCol w:w="1880"/>
        <w:gridCol w:w="2129"/>
        <w:gridCol w:w="2131"/>
        <w:gridCol w:w="2131"/>
      </w:tblGrid>
      <w:tr w14:paraId="2518BD75">
        <w:tblPrEx>
          <w:tblCellMar>
            <w:top w:w="0" w:type="dxa"/>
            <w:left w:w="108" w:type="dxa"/>
            <w:bottom w:w="0" w:type="dxa"/>
            <w:right w:w="108" w:type="dxa"/>
          </w:tblCellMar>
        </w:tblPrEx>
        <w:trPr>
          <w:trHeight w:val="495" w:hRule="atLeast"/>
        </w:trPr>
        <w:tc>
          <w:tcPr>
            <w:tcW w:w="1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999F16">
            <w:pPr>
              <w:widowControl/>
              <w:spacing w:line="240" w:lineRule="auto"/>
              <w:ind w:firstLine="0" w:firstLineChars="0"/>
              <w:jc w:val="center"/>
              <w:rPr>
                <w:rFonts w:cs="宋体"/>
                <w:color w:val="000000"/>
                <w:kern w:val="0"/>
                <w:sz w:val="22"/>
              </w:rPr>
            </w:pPr>
            <w:r>
              <w:rPr>
                <w:rFonts w:hint="eastAsia" w:cs="宋体"/>
                <w:color w:val="000000"/>
                <w:kern w:val="0"/>
                <w:sz w:val="22"/>
              </w:rPr>
              <w:t>评价准则</w:t>
            </w:r>
          </w:p>
        </w:tc>
        <w:tc>
          <w:tcPr>
            <w:tcW w:w="2129" w:type="dxa"/>
            <w:tcBorders>
              <w:top w:val="single" w:color="auto" w:sz="4" w:space="0"/>
              <w:left w:val="nil"/>
              <w:bottom w:val="single" w:color="auto" w:sz="4" w:space="0"/>
              <w:right w:val="single" w:color="auto" w:sz="4" w:space="0"/>
            </w:tcBorders>
            <w:shd w:val="clear" w:color="auto" w:fill="auto"/>
            <w:noWrap/>
            <w:vAlign w:val="center"/>
          </w:tcPr>
          <w:p w14:paraId="61802458">
            <w:pPr>
              <w:widowControl/>
              <w:spacing w:line="240" w:lineRule="auto"/>
              <w:ind w:firstLine="0" w:firstLineChars="0"/>
              <w:jc w:val="center"/>
              <w:rPr>
                <w:rFonts w:cs="宋体"/>
                <w:color w:val="000000"/>
                <w:kern w:val="0"/>
                <w:sz w:val="22"/>
              </w:rPr>
            </w:pPr>
            <w:r>
              <w:rPr>
                <w:rFonts w:hint="eastAsia" w:cs="宋体"/>
                <w:color w:val="000000"/>
                <w:kern w:val="0"/>
                <w:sz w:val="22"/>
              </w:rPr>
              <w:t>设定分值</w:t>
            </w:r>
          </w:p>
        </w:tc>
        <w:tc>
          <w:tcPr>
            <w:tcW w:w="2131" w:type="dxa"/>
            <w:tcBorders>
              <w:top w:val="single" w:color="auto" w:sz="4" w:space="0"/>
              <w:left w:val="nil"/>
              <w:bottom w:val="single" w:color="auto" w:sz="4" w:space="0"/>
              <w:right w:val="single" w:color="auto" w:sz="4" w:space="0"/>
            </w:tcBorders>
            <w:shd w:val="clear" w:color="auto" w:fill="auto"/>
            <w:noWrap/>
            <w:vAlign w:val="center"/>
          </w:tcPr>
          <w:p w14:paraId="17FCCA2E">
            <w:pPr>
              <w:widowControl/>
              <w:spacing w:line="240" w:lineRule="auto"/>
              <w:ind w:firstLine="0" w:firstLineChars="0"/>
              <w:jc w:val="center"/>
              <w:rPr>
                <w:rFonts w:cs="宋体"/>
                <w:color w:val="000000"/>
                <w:kern w:val="0"/>
                <w:sz w:val="22"/>
              </w:rPr>
            </w:pPr>
            <w:r>
              <w:rPr>
                <w:rFonts w:hint="eastAsia" w:cs="宋体"/>
                <w:color w:val="000000"/>
                <w:kern w:val="0"/>
                <w:sz w:val="22"/>
              </w:rPr>
              <w:t>得分</w:t>
            </w:r>
          </w:p>
        </w:tc>
        <w:tc>
          <w:tcPr>
            <w:tcW w:w="2131" w:type="dxa"/>
            <w:tcBorders>
              <w:top w:val="single" w:color="auto" w:sz="4" w:space="0"/>
              <w:left w:val="nil"/>
              <w:bottom w:val="single" w:color="auto" w:sz="4" w:space="0"/>
              <w:right w:val="single" w:color="auto" w:sz="4" w:space="0"/>
            </w:tcBorders>
            <w:shd w:val="clear" w:color="auto" w:fill="auto"/>
            <w:noWrap/>
            <w:vAlign w:val="center"/>
          </w:tcPr>
          <w:p w14:paraId="094EEF8D">
            <w:pPr>
              <w:widowControl/>
              <w:spacing w:line="240" w:lineRule="auto"/>
              <w:ind w:firstLine="0" w:firstLineChars="0"/>
              <w:jc w:val="center"/>
              <w:rPr>
                <w:rFonts w:cs="宋体"/>
                <w:color w:val="000000"/>
                <w:kern w:val="0"/>
                <w:sz w:val="22"/>
              </w:rPr>
            </w:pPr>
            <w:r>
              <w:rPr>
                <w:rFonts w:hint="eastAsia" w:cs="宋体"/>
                <w:color w:val="000000"/>
                <w:kern w:val="0"/>
                <w:sz w:val="22"/>
              </w:rPr>
              <w:t>评分等级</w:t>
            </w:r>
          </w:p>
        </w:tc>
      </w:tr>
      <w:tr w14:paraId="3A18BDD3">
        <w:tblPrEx>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color="auto" w:fill="auto"/>
            <w:noWrap/>
            <w:vAlign w:val="center"/>
          </w:tcPr>
          <w:p w14:paraId="66291883">
            <w:pPr>
              <w:widowControl/>
              <w:spacing w:line="240" w:lineRule="auto"/>
              <w:ind w:firstLine="0" w:firstLineChars="0"/>
              <w:jc w:val="center"/>
              <w:rPr>
                <w:rFonts w:cs="宋体"/>
                <w:color w:val="000000"/>
                <w:kern w:val="0"/>
                <w:sz w:val="22"/>
              </w:rPr>
            </w:pPr>
            <w:r>
              <w:rPr>
                <w:rFonts w:hint="eastAsia" w:cs="宋体"/>
                <w:color w:val="000000"/>
                <w:kern w:val="0"/>
                <w:sz w:val="22"/>
              </w:rPr>
              <w:t>预算执行</w:t>
            </w:r>
          </w:p>
        </w:tc>
        <w:tc>
          <w:tcPr>
            <w:tcW w:w="2129" w:type="dxa"/>
            <w:tcBorders>
              <w:top w:val="nil"/>
              <w:left w:val="nil"/>
              <w:bottom w:val="single" w:color="auto" w:sz="4" w:space="0"/>
              <w:right w:val="single" w:color="auto" w:sz="4" w:space="0"/>
            </w:tcBorders>
            <w:shd w:val="clear" w:color="auto" w:fill="auto"/>
            <w:noWrap/>
            <w:vAlign w:val="center"/>
          </w:tcPr>
          <w:p w14:paraId="07F83A63">
            <w:pPr>
              <w:widowControl/>
              <w:spacing w:line="240" w:lineRule="auto"/>
              <w:ind w:firstLine="0" w:firstLineChars="0"/>
              <w:jc w:val="center"/>
              <w:rPr>
                <w:rFonts w:cs="宋体"/>
                <w:color w:val="000000"/>
                <w:kern w:val="0"/>
                <w:sz w:val="22"/>
              </w:rPr>
            </w:pPr>
            <w:r>
              <w:rPr>
                <w:rFonts w:hint="eastAsia" w:cs="宋体"/>
                <w:color w:val="000000"/>
                <w:kern w:val="0"/>
                <w:sz w:val="22"/>
              </w:rPr>
              <w:t>20分</w:t>
            </w:r>
          </w:p>
        </w:tc>
        <w:tc>
          <w:tcPr>
            <w:tcW w:w="2131" w:type="dxa"/>
            <w:tcBorders>
              <w:top w:val="nil"/>
              <w:left w:val="nil"/>
              <w:bottom w:val="single" w:color="auto" w:sz="4" w:space="0"/>
              <w:right w:val="single" w:color="auto" w:sz="4" w:space="0"/>
            </w:tcBorders>
            <w:shd w:val="clear" w:color="auto" w:fill="auto"/>
            <w:noWrap/>
            <w:vAlign w:val="center"/>
          </w:tcPr>
          <w:p w14:paraId="73F954AF">
            <w:pPr>
              <w:widowControl/>
              <w:spacing w:line="240" w:lineRule="auto"/>
              <w:ind w:firstLine="0" w:firstLineChars="0"/>
              <w:jc w:val="center"/>
              <w:rPr>
                <w:rFonts w:cs="宋体"/>
                <w:color w:val="000000"/>
                <w:kern w:val="0"/>
                <w:sz w:val="22"/>
              </w:rPr>
            </w:pPr>
            <w:r>
              <w:rPr>
                <w:rFonts w:hint="eastAsia" w:cs="宋体"/>
                <w:color w:val="000000"/>
                <w:kern w:val="0"/>
                <w:sz w:val="22"/>
              </w:rPr>
              <w:t>19.99分</w:t>
            </w:r>
          </w:p>
        </w:tc>
        <w:tc>
          <w:tcPr>
            <w:tcW w:w="2131" w:type="dxa"/>
            <w:tcBorders>
              <w:top w:val="nil"/>
              <w:left w:val="nil"/>
              <w:bottom w:val="single" w:color="auto" w:sz="4" w:space="0"/>
              <w:right w:val="single" w:color="auto" w:sz="4" w:space="0"/>
            </w:tcBorders>
            <w:shd w:val="clear" w:color="auto" w:fill="auto"/>
            <w:noWrap/>
            <w:vAlign w:val="center"/>
          </w:tcPr>
          <w:p w14:paraId="04A095CD">
            <w:pPr>
              <w:widowControl/>
              <w:spacing w:line="240" w:lineRule="auto"/>
              <w:ind w:firstLine="0" w:firstLineChars="0"/>
              <w:jc w:val="center"/>
              <w:rPr>
                <w:rFonts w:cs="宋体"/>
                <w:color w:val="000000"/>
                <w:kern w:val="0"/>
                <w:sz w:val="22"/>
              </w:rPr>
            </w:pPr>
            <w:r>
              <w:rPr>
                <w:rFonts w:hint="eastAsia" w:cs="宋体"/>
                <w:color w:val="000000"/>
                <w:kern w:val="0"/>
                <w:sz w:val="22"/>
              </w:rPr>
              <w:t>优</w:t>
            </w:r>
          </w:p>
        </w:tc>
      </w:tr>
      <w:tr w14:paraId="42312712">
        <w:tblPrEx>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color="auto" w:fill="auto"/>
            <w:noWrap/>
            <w:vAlign w:val="center"/>
          </w:tcPr>
          <w:p w14:paraId="102A434E">
            <w:pPr>
              <w:widowControl/>
              <w:spacing w:line="240" w:lineRule="auto"/>
              <w:ind w:firstLine="0" w:firstLineChars="0"/>
              <w:jc w:val="center"/>
              <w:rPr>
                <w:rFonts w:cs="宋体"/>
                <w:color w:val="000000"/>
                <w:kern w:val="0"/>
                <w:sz w:val="22"/>
              </w:rPr>
            </w:pPr>
            <w:r>
              <w:rPr>
                <w:rFonts w:hint="eastAsia" w:cs="宋体"/>
                <w:color w:val="000000"/>
                <w:kern w:val="0"/>
                <w:sz w:val="22"/>
              </w:rPr>
              <w:t>项目产出</w:t>
            </w:r>
          </w:p>
        </w:tc>
        <w:tc>
          <w:tcPr>
            <w:tcW w:w="2129" w:type="dxa"/>
            <w:tcBorders>
              <w:top w:val="nil"/>
              <w:left w:val="nil"/>
              <w:bottom w:val="single" w:color="auto" w:sz="4" w:space="0"/>
              <w:right w:val="single" w:color="auto" w:sz="4" w:space="0"/>
            </w:tcBorders>
            <w:shd w:val="clear" w:color="auto" w:fill="auto"/>
            <w:noWrap/>
            <w:vAlign w:val="center"/>
          </w:tcPr>
          <w:p w14:paraId="29B5A5FC">
            <w:pPr>
              <w:widowControl/>
              <w:spacing w:line="240" w:lineRule="auto"/>
              <w:ind w:firstLine="0" w:firstLineChars="0"/>
              <w:jc w:val="center"/>
              <w:rPr>
                <w:rFonts w:cs="宋体"/>
                <w:color w:val="000000"/>
                <w:kern w:val="0"/>
                <w:sz w:val="22"/>
              </w:rPr>
            </w:pPr>
            <w:r>
              <w:rPr>
                <w:rFonts w:hint="eastAsia" w:cs="宋体"/>
                <w:color w:val="000000"/>
                <w:kern w:val="0"/>
                <w:sz w:val="22"/>
              </w:rPr>
              <w:t>4</w:t>
            </w:r>
            <w:r>
              <w:rPr>
                <w:rFonts w:cs="宋体"/>
                <w:color w:val="000000"/>
                <w:kern w:val="0"/>
                <w:sz w:val="22"/>
              </w:rPr>
              <w:t>0</w:t>
            </w:r>
            <w:r>
              <w:rPr>
                <w:rFonts w:hint="eastAsia" w:cs="宋体"/>
                <w:color w:val="000000"/>
                <w:kern w:val="0"/>
                <w:sz w:val="22"/>
              </w:rPr>
              <w:t>分</w:t>
            </w:r>
          </w:p>
        </w:tc>
        <w:tc>
          <w:tcPr>
            <w:tcW w:w="2131" w:type="dxa"/>
            <w:tcBorders>
              <w:top w:val="nil"/>
              <w:left w:val="nil"/>
              <w:bottom w:val="single" w:color="auto" w:sz="4" w:space="0"/>
              <w:right w:val="single" w:color="auto" w:sz="4" w:space="0"/>
            </w:tcBorders>
            <w:shd w:val="clear" w:color="auto" w:fill="auto"/>
            <w:noWrap/>
            <w:vAlign w:val="center"/>
          </w:tcPr>
          <w:p w14:paraId="0F3931CD">
            <w:pPr>
              <w:widowControl/>
              <w:spacing w:line="240" w:lineRule="auto"/>
              <w:ind w:firstLine="0" w:firstLineChars="0"/>
              <w:jc w:val="center"/>
              <w:rPr>
                <w:rFonts w:cs="宋体"/>
                <w:color w:val="000000"/>
                <w:kern w:val="0"/>
                <w:sz w:val="22"/>
              </w:rPr>
            </w:pPr>
            <w:r>
              <w:rPr>
                <w:rFonts w:hint="eastAsia" w:cs="宋体"/>
                <w:color w:val="000000"/>
                <w:kern w:val="0"/>
                <w:sz w:val="22"/>
              </w:rPr>
              <w:t>3</w:t>
            </w:r>
            <w:r>
              <w:rPr>
                <w:rFonts w:cs="宋体"/>
                <w:color w:val="000000"/>
                <w:kern w:val="0"/>
                <w:sz w:val="22"/>
              </w:rPr>
              <w:t>9</w:t>
            </w:r>
            <w:r>
              <w:rPr>
                <w:rFonts w:hint="eastAsia" w:cs="宋体"/>
                <w:color w:val="000000"/>
                <w:kern w:val="0"/>
                <w:sz w:val="22"/>
              </w:rPr>
              <w:t>分</w:t>
            </w:r>
          </w:p>
        </w:tc>
        <w:tc>
          <w:tcPr>
            <w:tcW w:w="2131" w:type="dxa"/>
            <w:tcBorders>
              <w:top w:val="nil"/>
              <w:left w:val="nil"/>
              <w:bottom w:val="single" w:color="auto" w:sz="4" w:space="0"/>
              <w:right w:val="single" w:color="auto" w:sz="4" w:space="0"/>
            </w:tcBorders>
            <w:shd w:val="clear" w:color="auto" w:fill="auto"/>
            <w:noWrap/>
            <w:vAlign w:val="center"/>
          </w:tcPr>
          <w:p w14:paraId="25D3DCED">
            <w:pPr>
              <w:widowControl/>
              <w:spacing w:line="240" w:lineRule="auto"/>
              <w:ind w:firstLine="0" w:firstLineChars="0"/>
              <w:jc w:val="center"/>
              <w:rPr>
                <w:rFonts w:cs="宋体"/>
                <w:color w:val="000000"/>
                <w:kern w:val="0"/>
                <w:sz w:val="22"/>
              </w:rPr>
            </w:pPr>
            <w:r>
              <w:rPr>
                <w:rFonts w:hint="eastAsia" w:cs="宋体"/>
                <w:color w:val="000000"/>
                <w:kern w:val="0"/>
                <w:sz w:val="22"/>
              </w:rPr>
              <w:t>优</w:t>
            </w:r>
          </w:p>
        </w:tc>
      </w:tr>
      <w:tr w14:paraId="5AFCBE75">
        <w:tblPrEx>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color="auto" w:fill="auto"/>
            <w:noWrap/>
            <w:vAlign w:val="center"/>
          </w:tcPr>
          <w:p w14:paraId="70370F43">
            <w:pPr>
              <w:widowControl/>
              <w:spacing w:line="240" w:lineRule="auto"/>
              <w:ind w:firstLine="0" w:firstLineChars="0"/>
              <w:jc w:val="center"/>
              <w:rPr>
                <w:rFonts w:cs="宋体"/>
                <w:color w:val="000000"/>
                <w:kern w:val="0"/>
                <w:sz w:val="22"/>
              </w:rPr>
            </w:pPr>
            <w:r>
              <w:rPr>
                <w:rFonts w:hint="eastAsia" w:cs="宋体"/>
                <w:color w:val="000000"/>
                <w:kern w:val="0"/>
                <w:sz w:val="22"/>
              </w:rPr>
              <w:t>项目效果</w:t>
            </w:r>
          </w:p>
        </w:tc>
        <w:tc>
          <w:tcPr>
            <w:tcW w:w="2129" w:type="dxa"/>
            <w:tcBorders>
              <w:top w:val="nil"/>
              <w:left w:val="nil"/>
              <w:bottom w:val="single" w:color="auto" w:sz="4" w:space="0"/>
              <w:right w:val="single" w:color="auto" w:sz="4" w:space="0"/>
            </w:tcBorders>
            <w:shd w:val="clear" w:color="auto" w:fill="auto"/>
            <w:noWrap/>
            <w:vAlign w:val="center"/>
          </w:tcPr>
          <w:p w14:paraId="15518849">
            <w:pPr>
              <w:widowControl/>
              <w:spacing w:line="240" w:lineRule="auto"/>
              <w:ind w:firstLine="0" w:firstLineChars="0"/>
              <w:jc w:val="center"/>
              <w:rPr>
                <w:rFonts w:cs="宋体"/>
                <w:color w:val="000000"/>
                <w:kern w:val="0"/>
                <w:sz w:val="22"/>
              </w:rPr>
            </w:pPr>
            <w:r>
              <w:rPr>
                <w:rFonts w:hint="eastAsia" w:cs="宋体"/>
                <w:color w:val="000000"/>
                <w:kern w:val="0"/>
                <w:sz w:val="22"/>
              </w:rPr>
              <w:t>4</w:t>
            </w:r>
            <w:r>
              <w:rPr>
                <w:rFonts w:cs="宋体"/>
                <w:color w:val="000000"/>
                <w:kern w:val="0"/>
                <w:sz w:val="22"/>
              </w:rPr>
              <w:t>0</w:t>
            </w:r>
            <w:r>
              <w:rPr>
                <w:rFonts w:hint="eastAsia" w:cs="宋体"/>
                <w:color w:val="000000"/>
                <w:kern w:val="0"/>
                <w:sz w:val="22"/>
              </w:rPr>
              <w:t>分</w:t>
            </w:r>
          </w:p>
        </w:tc>
        <w:tc>
          <w:tcPr>
            <w:tcW w:w="2131" w:type="dxa"/>
            <w:tcBorders>
              <w:top w:val="nil"/>
              <w:left w:val="nil"/>
              <w:bottom w:val="single" w:color="auto" w:sz="4" w:space="0"/>
              <w:right w:val="single" w:color="auto" w:sz="4" w:space="0"/>
            </w:tcBorders>
            <w:shd w:val="clear" w:color="auto" w:fill="auto"/>
            <w:noWrap/>
            <w:vAlign w:val="center"/>
          </w:tcPr>
          <w:p w14:paraId="2285A863">
            <w:pPr>
              <w:widowControl/>
              <w:spacing w:line="240" w:lineRule="auto"/>
              <w:ind w:firstLine="0" w:firstLineChars="0"/>
              <w:jc w:val="center"/>
              <w:rPr>
                <w:rFonts w:cs="宋体"/>
                <w:color w:val="000000"/>
                <w:kern w:val="0"/>
                <w:sz w:val="22"/>
              </w:rPr>
            </w:pPr>
            <w:r>
              <w:rPr>
                <w:rFonts w:hint="eastAsia" w:cs="宋体"/>
                <w:color w:val="000000"/>
                <w:kern w:val="0"/>
                <w:sz w:val="22"/>
              </w:rPr>
              <w:t>3</w:t>
            </w:r>
            <w:r>
              <w:rPr>
                <w:rFonts w:cs="宋体"/>
                <w:color w:val="000000"/>
                <w:kern w:val="0"/>
                <w:sz w:val="22"/>
              </w:rPr>
              <w:t>7</w:t>
            </w:r>
            <w:r>
              <w:rPr>
                <w:rFonts w:hint="eastAsia" w:cs="宋体"/>
                <w:color w:val="000000"/>
                <w:kern w:val="0"/>
                <w:sz w:val="22"/>
              </w:rPr>
              <w:t>分</w:t>
            </w:r>
          </w:p>
        </w:tc>
        <w:tc>
          <w:tcPr>
            <w:tcW w:w="2131" w:type="dxa"/>
            <w:tcBorders>
              <w:top w:val="nil"/>
              <w:left w:val="nil"/>
              <w:bottom w:val="single" w:color="auto" w:sz="4" w:space="0"/>
              <w:right w:val="single" w:color="auto" w:sz="4" w:space="0"/>
            </w:tcBorders>
            <w:shd w:val="clear" w:color="auto" w:fill="auto"/>
            <w:noWrap/>
            <w:vAlign w:val="center"/>
          </w:tcPr>
          <w:p w14:paraId="6F473CBB">
            <w:pPr>
              <w:widowControl/>
              <w:spacing w:line="240" w:lineRule="auto"/>
              <w:ind w:firstLine="0" w:firstLineChars="0"/>
              <w:jc w:val="center"/>
              <w:rPr>
                <w:rFonts w:cs="宋体"/>
                <w:color w:val="000000"/>
                <w:kern w:val="0"/>
                <w:sz w:val="22"/>
              </w:rPr>
            </w:pPr>
            <w:r>
              <w:rPr>
                <w:rFonts w:hint="eastAsia" w:cs="宋体"/>
                <w:color w:val="000000"/>
                <w:kern w:val="0"/>
                <w:sz w:val="22"/>
              </w:rPr>
              <w:t>优</w:t>
            </w:r>
          </w:p>
        </w:tc>
      </w:tr>
      <w:tr w14:paraId="0D48C747">
        <w:tblPrEx>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color="auto" w:fill="auto"/>
            <w:noWrap/>
            <w:vAlign w:val="center"/>
          </w:tcPr>
          <w:p w14:paraId="0BB5C3A0">
            <w:pPr>
              <w:widowControl/>
              <w:spacing w:line="240" w:lineRule="auto"/>
              <w:ind w:firstLine="0" w:firstLineChars="0"/>
              <w:jc w:val="center"/>
              <w:rPr>
                <w:rFonts w:cs="宋体"/>
                <w:color w:val="000000"/>
                <w:kern w:val="0"/>
                <w:sz w:val="22"/>
              </w:rPr>
            </w:pPr>
            <w:r>
              <w:rPr>
                <w:rFonts w:hint="eastAsia" w:cs="宋体"/>
                <w:color w:val="000000"/>
                <w:kern w:val="0"/>
                <w:sz w:val="22"/>
              </w:rPr>
              <w:t>综合绩效</w:t>
            </w:r>
          </w:p>
        </w:tc>
        <w:tc>
          <w:tcPr>
            <w:tcW w:w="2129" w:type="dxa"/>
            <w:tcBorders>
              <w:top w:val="nil"/>
              <w:left w:val="nil"/>
              <w:bottom w:val="single" w:color="auto" w:sz="4" w:space="0"/>
              <w:right w:val="single" w:color="auto" w:sz="4" w:space="0"/>
            </w:tcBorders>
            <w:shd w:val="clear" w:color="auto" w:fill="auto"/>
            <w:noWrap/>
            <w:vAlign w:val="center"/>
          </w:tcPr>
          <w:p w14:paraId="06F6AAC3">
            <w:pPr>
              <w:widowControl/>
              <w:spacing w:line="240" w:lineRule="auto"/>
              <w:ind w:firstLine="0" w:firstLineChars="0"/>
              <w:jc w:val="center"/>
              <w:rPr>
                <w:rFonts w:cs="宋体"/>
                <w:color w:val="000000"/>
                <w:kern w:val="0"/>
                <w:sz w:val="22"/>
              </w:rPr>
            </w:pPr>
            <w:r>
              <w:rPr>
                <w:rFonts w:hint="eastAsia" w:cs="宋体"/>
                <w:color w:val="000000"/>
                <w:kern w:val="0"/>
                <w:sz w:val="22"/>
              </w:rPr>
              <w:t>1</w:t>
            </w:r>
            <w:r>
              <w:rPr>
                <w:rFonts w:cs="宋体"/>
                <w:color w:val="000000"/>
                <w:kern w:val="0"/>
                <w:sz w:val="22"/>
              </w:rPr>
              <w:t>00</w:t>
            </w:r>
            <w:r>
              <w:rPr>
                <w:rFonts w:hint="eastAsia" w:cs="宋体"/>
                <w:color w:val="000000"/>
                <w:kern w:val="0"/>
                <w:sz w:val="22"/>
              </w:rPr>
              <w:t>分</w:t>
            </w:r>
          </w:p>
        </w:tc>
        <w:tc>
          <w:tcPr>
            <w:tcW w:w="2131" w:type="dxa"/>
            <w:tcBorders>
              <w:top w:val="nil"/>
              <w:left w:val="nil"/>
              <w:bottom w:val="single" w:color="auto" w:sz="4" w:space="0"/>
              <w:right w:val="single" w:color="auto" w:sz="4" w:space="0"/>
            </w:tcBorders>
            <w:shd w:val="clear" w:color="auto" w:fill="auto"/>
            <w:noWrap/>
            <w:vAlign w:val="center"/>
          </w:tcPr>
          <w:p w14:paraId="312154CB">
            <w:pPr>
              <w:widowControl/>
              <w:spacing w:line="240" w:lineRule="auto"/>
              <w:ind w:firstLine="0" w:firstLineChars="0"/>
              <w:jc w:val="center"/>
              <w:rPr>
                <w:rFonts w:cs="宋体"/>
                <w:color w:val="000000"/>
                <w:kern w:val="0"/>
                <w:sz w:val="22"/>
              </w:rPr>
            </w:pPr>
            <w:r>
              <w:rPr>
                <w:rFonts w:hint="eastAsia" w:cs="宋体"/>
                <w:color w:val="000000"/>
                <w:kern w:val="0"/>
                <w:sz w:val="22"/>
              </w:rPr>
              <w:t>9</w:t>
            </w:r>
            <w:r>
              <w:rPr>
                <w:rFonts w:cs="宋体"/>
                <w:color w:val="000000"/>
                <w:kern w:val="0"/>
                <w:sz w:val="22"/>
              </w:rPr>
              <w:t>5.99</w:t>
            </w:r>
            <w:r>
              <w:rPr>
                <w:rFonts w:hint="eastAsia" w:cs="宋体"/>
                <w:color w:val="000000"/>
                <w:kern w:val="0"/>
                <w:sz w:val="22"/>
              </w:rPr>
              <w:t>分</w:t>
            </w:r>
          </w:p>
        </w:tc>
        <w:tc>
          <w:tcPr>
            <w:tcW w:w="2131" w:type="dxa"/>
            <w:tcBorders>
              <w:top w:val="nil"/>
              <w:left w:val="nil"/>
              <w:bottom w:val="single" w:color="auto" w:sz="4" w:space="0"/>
              <w:right w:val="single" w:color="auto" w:sz="4" w:space="0"/>
            </w:tcBorders>
            <w:shd w:val="clear" w:color="auto" w:fill="auto"/>
            <w:noWrap/>
            <w:vAlign w:val="center"/>
          </w:tcPr>
          <w:p w14:paraId="2DCBBC5C">
            <w:pPr>
              <w:widowControl/>
              <w:spacing w:line="240" w:lineRule="auto"/>
              <w:ind w:firstLine="0" w:firstLineChars="0"/>
              <w:jc w:val="center"/>
              <w:rPr>
                <w:rFonts w:cs="宋体"/>
                <w:color w:val="000000"/>
                <w:kern w:val="0"/>
                <w:sz w:val="22"/>
              </w:rPr>
            </w:pPr>
            <w:r>
              <w:rPr>
                <w:rFonts w:hint="eastAsia" w:cs="宋体"/>
                <w:color w:val="000000"/>
                <w:kern w:val="0"/>
                <w:sz w:val="22"/>
              </w:rPr>
              <w:t>优</w:t>
            </w:r>
          </w:p>
        </w:tc>
      </w:tr>
    </w:tbl>
    <w:p w14:paraId="556BC7A1">
      <w:pPr>
        <w:pStyle w:val="4"/>
        <w:ind w:firstLine="482"/>
      </w:pPr>
      <w:bookmarkStart w:id="21" w:name="_Toc13645283"/>
      <w:r>
        <w:rPr>
          <w:rFonts w:hint="eastAsia"/>
        </w:rPr>
        <w:t>2、对项目决策管理和绩效的综合评价</w:t>
      </w:r>
      <w:bookmarkEnd w:id="21"/>
    </w:p>
    <w:p w14:paraId="1AB5FBF0">
      <w:pPr>
        <w:ind w:firstLine="480"/>
      </w:pPr>
      <w:r>
        <w:rPr>
          <w:rFonts w:hint="eastAsia"/>
        </w:rPr>
        <w:t>（1）项目决策管理</w:t>
      </w:r>
    </w:p>
    <w:p w14:paraId="1563C712">
      <w:pPr>
        <w:ind w:firstLine="480"/>
      </w:pPr>
      <w:r>
        <w:rPr>
          <w:rFonts w:hint="eastAsia"/>
        </w:rPr>
        <w:t>根据《硚口区财政局关于批复硚口区水务局2018年部门预算的函》（硚财函[2018]63号），项目纳入部门预算，随其申报、审批、符合相关管理办法，符合武汉市硚口区排水队日常管理职责。</w:t>
      </w:r>
    </w:p>
    <w:p w14:paraId="0FC57C68">
      <w:pPr>
        <w:ind w:firstLine="480"/>
      </w:pPr>
      <w:r>
        <w:rPr>
          <w:rFonts w:hint="eastAsia"/>
        </w:rPr>
        <w:t>根据《2018年度硚口区部门预算项目支出（绩效目标）申报表》，项目与部门职责密切相关，项目立项依据充分，项目绩效目标设定合理，但对项目产出指标及效益指标设定不够细化。</w:t>
      </w:r>
    </w:p>
    <w:p w14:paraId="1478B432">
      <w:pPr>
        <w:ind w:firstLine="480"/>
      </w:pPr>
      <w:r>
        <w:rPr>
          <w:rFonts w:hint="eastAsia"/>
        </w:rPr>
        <w:t>（2）项目绩效的综合评价</w:t>
      </w:r>
    </w:p>
    <w:p w14:paraId="5F5C2DCA">
      <w:pPr>
        <w:ind w:firstLine="480"/>
      </w:pPr>
      <w:r>
        <w:rPr>
          <w:rFonts w:hint="eastAsia"/>
        </w:rPr>
        <w:t>从总体来看，排水队在区水务局领导的关心下，较好的完成了2018年各项绩效目标，排水队2018年排水管网维护保养与管理项目产出指标基本实现，累计疏浚排水管网310.3KM；沟管维修63.5米；疏捞井孔68384座，进水井38308，检查井30076；添置井盖座（包括检查井和进水井）782套，进水井384套，检查井398套；维修井盖28座，进水井20套，检查井8套。各项产出指标超额完成；本项目设立专门机构，分工明确，由于近几年排水管网和排水井孔不断增加，存在经费不足的情况，根据调查问卷统计，有95%的受访者对硚口区排水队的疏捞工作非常满意，2018年排水队被市委宣传部、市文明办授予“武汉市学雷锋活动示范点”。</w:t>
      </w:r>
    </w:p>
    <w:p w14:paraId="4E49B07C">
      <w:pPr>
        <w:pStyle w:val="3"/>
        <w:ind w:firstLine="482"/>
      </w:pPr>
      <w:bookmarkStart w:id="22" w:name="_Toc13645284"/>
      <w:r>
        <w:rPr>
          <w:rFonts w:hint="eastAsia"/>
        </w:rPr>
        <w:t>（二）主要经验、存在的问题和改进措施</w:t>
      </w:r>
      <w:bookmarkEnd w:id="22"/>
    </w:p>
    <w:p w14:paraId="2253D40C">
      <w:pPr>
        <w:pStyle w:val="4"/>
        <w:ind w:firstLine="482"/>
      </w:pPr>
      <w:bookmarkStart w:id="23" w:name="_Toc13645285"/>
      <w:r>
        <w:rPr>
          <w:rFonts w:hint="eastAsia"/>
        </w:rPr>
        <w:t>1、主要经验</w:t>
      </w:r>
      <w:bookmarkEnd w:id="23"/>
    </w:p>
    <w:p w14:paraId="0AE5994B">
      <w:pPr>
        <w:ind w:firstLine="480"/>
      </w:pPr>
      <w:r>
        <w:rPr>
          <w:rFonts w:hint="eastAsia"/>
        </w:rPr>
        <w:t>（1）强化日常维护，确保汛前排水安全。一是加强主次干道、一般道路的疏绞和维护，确保排水畅通；二是加强背街小巷、易渍水社区排水管网的维护和疏捞，确保无污水漫溢；三是加大考核力度，每月中上旬由分管队长牵头，各段段长组成的考核小组对上月下达的工作计划进行考核，严格按市水务局行业标分辨率进行定性考核。四是加上汛前排水安全的泵站维护，对排水各泵站机电设施进行全面维护和检修，区属管辖的七座泵站开机率达100%。</w:t>
      </w:r>
    </w:p>
    <w:p w14:paraId="63D3A8CC">
      <w:pPr>
        <w:ind w:firstLine="480"/>
      </w:pPr>
      <w:r>
        <w:rPr>
          <w:rFonts w:hint="eastAsia"/>
        </w:rPr>
        <w:t>（2）全力排渍抢险，确保排水设施完好。一是开展排渍应急抢险演练，进入主汛期前，排水队开展流动泵车应急抢险演练，提高抢险应急队伍实战能力，发挥新设备的应急抢险作用；二是齐心协力迎战强降雨，排渍应急小分队对易渍水点排水管网进行排查，对易渍水点全线巡查值守，全区没有出现大面积渍水；三是有效处置排水设施险情。</w:t>
      </w:r>
    </w:p>
    <w:p w14:paraId="33A108E5">
      <w:pPr>
        <w:ind w:firstLine="480"/>
      </w:pPr>
      <w:r>
        <w:rPr>
          <w:rFonts w:hint="eastAsia"/>
        </w:rPr>
        <w:t>（3）服务重点工作，确保排水管网畅通。结合职能职责，服务重点工作军运会，以第七届军运会保障28条线路、一座比赛场馆为重点对排水设施进行全面的疏浚和维护，确保排水设施完整，排水管网畅通。为提升城市功能品质贡献力量，以优美的城市环境面貌迎接军运会。</w:t>
      </w:r>
    </w:p>
    <w:p w14:paraId="5974453C">
      <w:pPr>
        <w:ind w:firstLine="480"/>
      </w:pPr>
      <w:r>
        <w:rPr>
          <w:rFonts w:hint="eastAsia"/>
        </w:rPr>
        <w:t>（4）践行公开承诺，确保辖区群众满意。排水队对市民承诺：“全区公共排水管道堵塞、井盖破坏、缺失等投诉，确保1小时内到达现场，48小时内处理完毕”，对D600MM以上的市政公共排水客道，平均两年疏浚一次，对D600MM以下的市政公共排水管道每年疏浚一次，对易渍水的地段每年疏浚四次，确保辖区群众满意。继续在企业、社区、居民中推行疏捞排渍便民服务卡，第一时间消除污水漫溢现象。</w:t>
      </w:r>
    </w:p>
    <w:p w14:paraId="78C52494">
      <w:pPr>
        <w:ind w:firstLine="480"/>
      </w:pPr>
      <w:r>
        <w:rPr>
          <w:rFonts w:hint="eastAsia"/>
        </w:rPr>
        <w:t>（5）抓实基层党建，确保工作作风转变。按照《2018年全区基层党建工作“双月考核”细则》，扎实做好基层党建基础工作，履行基层党建主体责任，及时传达学习，部署落实全省、全市、全区基层党建工作重点任务推进会精神；规范和落实党内组织生活。</w:t>
      </w:r>
    </w:p>
    <w:p w14:paraId="208EEE4F">
      <w:pPr>
        <w:pStyle w:val="4"/>
        <w:ind w:firstLine="482"/>
      </w:pPr>
      <w:bookmarkStart w:id="24" w:name="_Toc13645286"/>
      <w:r>
        <w:rPr>
          <w:rFonts w:hint="eastAsia"/>
        </w:rPr>
        <w:t>2、存在的问题</w:t>
      </w:r>
      <w:bookmarkEnd w:id="24"/>
    </w:p>
    <w:p w14:paraId="26166A87">
      <w:pPr>
        <w:ind w:left="482" w:firstLine="0" w:firstLineChars="0"/>
      </w:pPr>
      <w:r>
        <w:rPr>
          <w:rFonts w:hint="eastAsia"/>
        </w:rPr>
        <w:t>2018年排水管网维护保养与管理项目总体实施情况较好，但存在以下问题：</w:t>
      </w:r>
    </w:p>
    <w:p w14:paraId="1D47B67F">
      <w:pPr>
        <w:ind w:firstLine="480"/>
      </w:pPr>
      <w:r>
        <w:rPr>
          <w:rFonts w:hint="eastAsia"/>
        </w:rPr>
        <w:t>（1）项目初年绩效目标设立不够细化，不利于全方位地对项目进行考核，不便于项目实施完成后的绩效分析。</w:t>
      </w:r>
    </w:p>
    <w:p w14:paraId="43E2CD68">
      <w:pPr>
        <w:ind w:firstLine="480"/>
      </w:pPr>
      <w:r>
        <w:rPr>
          <w:rFonts w:hint="eastAsia"/>
        </w:rPr>
        <w:t>（2）排水队领导班子成员配备不足，职工年龄结构不合同，专业技术人员缺乏，影响项目可持续发展。</w:t>
      </w:r>
    </w:p>
    <w:p w14:paraId="652A7043">
      <w:pPr>
        <w:ind w:firstLine="480"/>
      </w:pPr>
      <w:r>
        <w:rPr>
          <w:rFonts w:hint="eastAsia"/>
        </w:rPr>
        <w:t>（3）排水设施不断增加，2014年至2018年累计增加排水管网153.8KM，新增排水井孔6547座，排水设施维护经费不足。</w:t>
      </w:r>
    </w:p>
    <w:p w14:paraId="7D47A299">
      <w:pPr>
        <w:pStyle w:val="4"/>
        <w:ind w:firstLine="482"/>
      </w:pPr>
      <w:bookmarkStart w:id="25" w:name="_Toc13645287"/>
      <w:r>
        <w:rPr>
          <w:rFonts w:hint="eastAsia"/>
        </w:rPr>
        <w:t>3、改进措施</w:t>
      </w:r>
      <w:bookmarkEnd w:id="25"/>
    </w:p>
    <w:p w14:paraId="4EA994AE">
      <w:pPr>
        <w:ind w:firstLine="480"/>
      </w:pPr>
      <w:r>
        <w:rPr>
          <w:rFonts w:hint="eastAsia"/>
        </w:rPr>
        <w:t>（1）建议提高对项目绩效评价工作的重视程度，建立完善的项目绩效评价体系，建立健全绩效评价工作机制，对绩效评价实施精细化管理，制定合理、细化、量化的绩效目标。</w:t>
      </w:r>
    </w:p>
    <w:p w14:paraId="0DFBC564">
      <w:pPr>
        <w:ind w:firstLine="480"/>
      </w:pPr>
      <w:r>
        <w:rPr>
          <w:rFonts w:hint="eastAsia"/>
        </w:rPr>
        <w:t>（2）提高机械化，加快信息化，增强专业化职工队伍，提高排水维护效率。同时通过政府购买报务，弥补一线维护人员严重不足，保证项目可持续发展。</w:t>
      </w:r>
    </w:p>
    <w:p w14:paraId="7E5BC97A">
      <w:pPr>
        <w:ind w:firstLine="480"/>
      </w:pPr>
      <w:r>
        <w:rPr>
          <w:rFonts w:hint="eastAsia"/>
        </w:rPr>
        <w:t>（3）结合全</w:t>
      </w:r>
      <w:r>
        <w:rPr>
          <w:rFonts w:hint="eastAsia"/>
          <w:lang w:eastAsia="zh-CN"/>
        </w:rPr>
        <w:t>面</w:t>
      </w:r>
      <w:r>
        <w:rPr>
          <w:rFonts w:hint="eastAsia"/>
        </w:rPr>
        <w:t>深化改革的契机，全面推动排水维护改革，充分调动一线职工的积极性。</w:t>
      </w:r>
    </w:p>
    <w:p w14:paraId="208533AD">
      <w:pPr>
        <w:pStyle w:val="2"/>
        <w:ind w:firstLine="482"/>
      </w:pPr>
      <w:bookmarkStart w:id="26" w:name="_Toc9666013"/>
      <w:bookmarkStart w:id="27" w:name="_Toc13645288"/>
      <w:r>
        <w:t>四、</w:t>
      </w:r>
      <w:r>
        <w:rPr>
          <w:rFonts w:hint="eastAsia"/>
        </w:rPr>
        <w:t>2</w:t>
      </w:r>
      <w:r>
        <w:t>018</w:t>
      </w:r>
      <w:r>
        <w:rPr>
          <w:rFonts w:hint="eastAsia"/>
        </w:rPr>
        <w:t>年度排水管网维护保养与管理项目绩效自评表</w:t>
      </w:r>
      <w:bookmarkEnd w:id="26"/>
      <w:bookmarkEnd w:id="27"/>
    </w:p>
    <w:p w14:paraId="2B8FA731">
      <w:pPr>
        <w:spacing w:beforeLines="50" w:after="100" w:afterAutospacing="1"/>
        <w:ind w:firstLine="482"/>
        <w:jc w:val="center"/>
        <w:rPr>
          <w:rFonts w:ascii="黑体" w:hAnsi="黑体" w:eastAsia="黑体"/>
          <w:b/>
          <w:bCs/>
          <w:szCs w:val="24"/>
        </w:rPr>
      </w:pPr>
      <w:r>
        <w:rPr>
          <w:rFonts w:hint="eastAsia" w:ascii="黑体" w:hAnsi="黑体" w:eastAsia="黑体"/>
          <w:b/>
          <w:bCs/>
          <w:szCs w:val="24"/>
        </w:rPr>
        <w:t>2</w:t>
      </w:r>
      <w:r>
        <w:rPr>
          <w:rFonts w:ascii="黑体" w:hAnsi="黑体" w:eastAsia="黑体"/>
          <w:b/>
          <w:bCs/>
          <w:szCs w:val="24"/>
        </w:rPr>
        <w:t>018</w:t>
      </w:r>
      <w:r>
        <w:rPr>
          <w:rFonts w:hint="eastAsia" w:ascii="黑体" w:hAnsi="黑体" w:eastAsia="黑体"/>
          <w:b/>
          <w:bCs/>
          <w:szCs w:val="24"/>
        </w:rPr>
        <w:t>年度排水管网维护保养与管理项目绩效评价表</w:t>
      </w:r>
    </w:p>
    <w:tbl>
      <w:tblPr>
        <w:tblStyle w:val="19"/>
        <w:tblW w:w="8522" w:type="dxa"/>
        <w:tblInd w:w="0" w:type="dxa"/>
        <w:tblLayout w:type="fixed"/>
        <w:tblCellMar>
          <w:top w:w="0" w:type="dxa"/>
          <w:left w:w="108" w:type="dxa"/>
          <w:bottom w:w="0" w:type="dxa"/>
          <w:right w:w="108" w:type="dxa"/>
        </w:tblCellMar>
      </w:tblPr>
      <w:tblGrid>
        <w:gridCol w:w="1133"/>
        <w:gridCol w:w="1779"/>
        <w:gridCol w:w="2040"/>
        <w:gridCol w:w="1418"/>
        <w:gridCol w:w="916"/>
        <w:gridCol w:w="1236"/>
      </w:tblGrid>
      <w:tr w14:paraId="08C1E9A2">
        <w:tblPrEx>
          <w:tblCellMar>
            <w:top w:w="0" w:type="dxa"/>
            <w:left w:w="108" w:type="dxa"/>
            <w:bottom w:w="0" w:type="dxa"/>
            <w:right w:w="108" w:type="dxa"/>
          </w:tblCellMar>
        </w:tblPrEx>
        <w:trPr>
          <w:trHeight w:val="692" w:hRule="atLeast"/>
        </w:trPr>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0283B02F">
            <w:pPr>
              <w:widowControl/>
              <w:spacing w:line="240" w:lineRule="auto"/>
              <w:ind w:firstLine="0" w:firstLineChars="0"/>
              <w:jc w:val="left"/>
              <w:rPr>
                <w:rFonts w:cs="Times New Roman"/>
                <w:kern w:val="0"/>
                <w:sz w:val="20"/>
                <w:szCs w:val="20"/>
              </w:rPr>
            </w:pPr>
            <w:r>
              <w:rPr>
                <w:rFonts w:hint="eastAsia" w:cs="Times New Roman"/>
                <w:kern w:val="0"/>
                <w:sz w:val="20"/>
                <w:szCs w:val="20"/>
              </w:rPr>
              <w:t>填报日期</w:t>
            </w:r>
          </w:p>
        </w:tc>
        <w:tc>
          <w:tcPr>
            <w:tcW w:w="1779" w:type="dxa"/>
            <w:tcBorders>
              <w:top w:val="single" w:color="auto" w:sz="4" w:space="0"/>
              <w:left w:val="nil"/>
              <w:bottom w:val="single" w:color="auto" w:sz="4" w:space="0"/>
              <w:right w:val="single" w:color="auto" w:sz="4" w:space="0"/>
            </w:tcBorders>
            <w:shd w:val="clear" w:color="auto" w:fill="auto"/>
            <w:vAlign w:val="center"/>
          </w:tcPr>
          <w:p w14:paraId="3303A66D">
            <w:pPr>
              <w:widowControl/>
              <w:spacing w:line="240" w:lineRule="auto"/>
              <w:ind w:firstLine="0" w:firstLineChars="0"/>
              <w:jc w:val="center"/>
              <w:rPr>
                <w:rFonts w:cs="Times New Roman"/>
                <w:kern w:val="0"/>
                <w:sz w:val="20"/>
                <w:szCs w:val="20"/>
              </w:rPr>
            </w:pPr>
            <w:r>
              <w:rPr>
                <w:rFonts w:hint="eastAsia" w:cs="Times New Roman" w:asciiTheme="minorEastAsia" w:hAnsiTheme="minorEastAsia" w:eastAsiaTheme="minorEastAsia"/>
                <w:kern w:val="0"/>
                <w:sz w:val="20"/>
                <w:szCs w:val="20"/>
              </w:rPr>
              <w:t>2019年7月9日</w:t>
            </w:r>
          </w:p>
        </w:tc>
        <w:tc>
          <w:tcPr>
            <w:tcW w:w="2040" w:type="dxa"/>
            <w:tcBorders>
              <w:top w:val="single" w:color="auto" w:sz="4" w:space="0"/>
              <w:left w:val="nil"/>
              <w:bottom w:val="single" w:color="auto" w:sz="4" w:space="0"/>
              <w:right w:val="single" w:color="auto" w:sz="4" w:space="0"/>
            </w:tcBorders>
            <w:shd w:val="clear" w:color="auto" w:fill="auto"/>
            <w:vAlign w:val="center"/>
          </w:tcPr>
          <w:p w14:paraId="0B9874F9">
            <w:pPr>
              <w:widowControl/>
              <w:spacing w:line="240" w:lineRule="auto"/>
              <w:ind w:firstLine="0" w:firstLineChars="0"/>
              <w:jc w:val="left"/>
              <w:rPr>
                <w:rFonts w:cs="Times New Roman"/>
                <w:kern w:val="0"/>
                <w:sz w:val="20"/>
                <w:szCs w:val="20"/>
              </w:rPr>
            </w:pPr>
            <w:r>
              <w:rPr>
                <w:rFonts w:cs="Times New Roman"/>
                <w:kern w:val="0"/>
                <w:sz w:val="20"/>
                <w:szCs w:val="20"/>
              </w:rPr>
              <w:t>　</w:t>
            </w:r>
          </w:p>
        </w:tc>
        <w:tc>
          <w:tcPr>
            <w:tcW w:w="1418" w:type="dxa"/>
            <w:tcBorders>
              <w:top w:val="single" w:color="auto" w:sz="4" w:space="0"/>
              <w:left w:val="nil"/>
              <w:bottom w:val="single" w:color="auto" w:sz="4" w:space="0"/>
              <w:right w:val="single" w:color="auto" w:sz="4" w:space="0"/>
            </w:tcBorders>
            <w:shd w:val="clear" w:color="auto" w:fill="auto"/>
            <w:vAlign w:val="center"/>
          </w:tcPr>
          <w:p w14:paraId="47BEA2BB">
            <w:pPr>
              <w:widowControl/>
              <w:spacing w:line="240" w:lineRule="auto"/>
              <w:ind w:firstLine="0" w:firstLineChars="0"/>
              <w:jc w:val="left"/>
              <w:rPr>
                <w:rFonts w:cs="Times New Roman"/>
                <w:kern w:val="0"/>
                <w:sz w:val="20"/>
                <w:szCs w:val="20"/>
              </w:rPr>
            </w:pPr>
            <w:r>
              <w:rPr>
                <w:rFonts w:cs="Times New Roman"/>
                <w:kern w:val="0"/>
                <w:sz w:val="20"/>
                <w:szCs w:val="20"/>
              </w:rPr>
              <w:t>　</w:t>
            </w:r>
          </w:p>
        </w:tc>
        <w:tc>
          <w:tcPr>
            <w:tcW w:w="916" w:type="dxa"/>
            <w:tcBorders>
              <w:top w:val="single" w:color="auto" w:sz="4" w:space="0"/>
              <w:left w:val="nil"/>
              <w:bottom w:val="single" w:color="auto" w:sz="4" w:space="0"/>
              <w:right w:val="single" w:color="auto" w:sz="4" w:space="0"/>
            </w:tcBorders>
            <w:shd w:val="clear" w:color="auto" w:fill="auto"/>
            <w:vAlign w:val="center"/>
          </w:tcPr>
          <w:p w14:paraId="73785D96">
            <w:pPr>
              <w:widowControl/>
              <w:spacing w:line="240" w:lineRule="auto"/>
              <w:ind w:firstLine="0" w:firstLineChars="0"/>
              <w:jc w:val="left"/>
              <w:rPr>
                <w:rFonts w:cs="Times New Roman"/>
                <w:kern w:val="0"/>
                <w:sz w:val="20"/>
                <w:szCs w:val="20"/>
              </w:rPr>
            </w:pPr>
            <w:r>
              <w:rPr>
                <w:rFonts w:cs="Times New Roman"/>
                <w:kern w:val="0"/>
                <w:sz w:val="20"/>
                <w:szCs w:val="20"/>
              </w:rPr>
              <w:t>　</w:t>
            </w:r>
          </w:p>
        </w:tc>
        <w:tc>
          <w:tcPr>
            <w:tcW w:w="1236" w:type="dxa"/>
            <w:tcBorders>
              <w:top w:val="single" w:color="auto" w:sz="4" w:space="0"/>
              <w:left w:val="nil"/>
              <w:bottom w:val="single" w:color="auto" w:sz="4" w:space="0"/>
              <w:right w:val="single" w:color="auto" w:sz="4" w:space="0"/>
            </w:tcBorders>
            <w:shd w:val="clear" w:color="auto" w:fill="auto"/>
            <w:vAlign w:val="center"/>
          </w:tcPr>
          <w:p w14:paraId="7E188C59">
            <w:pPr>
              <w:widowControl/>
              <w:spacing w:line="240" w:lineRule="auto"/>
              <w:ind w:firstLine="0" w:firstLineChars="0"/>
              <w:jc w:val="left"/>
              <w:rPr>
                <w:rFonts w:cs="宋体"/>
                <w:kern w:val="0"/>
                <w:sz w:val="20"/>
                <w:szCs w:val="20"/>
              </w:rPr>
            </w:pPr>
            <w:r>
              <w:rPr>
                <w:rFonts w:hint="eastAsia" w:cs="宋体"/>
                <w:kern w:val="0"/>
                <w:sz w:val="20"/>
                <w:szCs w:val="20"/>
              </w:rPr>
              <w:t>总分：9</w:t>
            </w:r>
            <w:r>
              <w:rPr>
                <w:rFonts w:cs="宋体"/>
                <w:kern w:val="0"/>
                <w:sz w:val="20"/>
                <w:szCs w:val="20"/>
              </w:rPr>
              <w:t>5.99</w:t>
            </w:r>
          </w:p>
        </w:tc>
      </w:tr>
      <w:tr w14:paraId="0F5D6123">
        <w:tblPrEx>
          <w:tblCellMar>
            <w:top w:w="0" w:type="dxa"/>
            <w:left w:w="108" w:type="dxa"/>
            <w:bottom w:w="0" w:type="dxa"/>
            <w:right w:w="108" w:type="dxa"/>
          </w:tblCellMar>
        </w:tblPrEx>
        <w:trPr>
          <w:trHeight w:val="512" w:hRule="atLeast"/>
        </w:trPr>
        <w:tc>
          <w:tcPr>
            <w:tcW w:w="1133" w:type="dxa"/>
            <w:tcBorders>
              <w:top w:val="nil"/>
              <w:left w:val="single" w:color="auto" w:sz="4" w:space="0"/>
              <w:bottom w:val="single" w:color="auto" w:sz="4" w:space="0"/>
              <w:right w:val="single" w:color="auto" w:sz="4" w:space="0"/>
            </w:tcBorders>
            <w:shd w:val="clear" w:color="auto" w:fill="auto"/>
            <w:vAlign w:val="center"/>
          </w:tcPr>
          <w:p w14:paraId="45A8DF33">
            <w:pPr>
              <w:widowControl/>
              <w:spacing w:line="240" w:lineRule="auto"/>
              <w:ind w:firstLine="0" w:firstLineChars="0"/>
              <w:jc w:val="left"/>
              <w:rPr>
                <w:rFonts w:cs="Times New Roman"/>
                <w:kern w:val="0"/>
                <w:sz w:val="20"/>
                <w:szCs w:val="20"/>
              </w:rPr>
            </w:pPr>
            <w:r>
              <w:rPr>
                <w:rFonts w:hint="eastAsia" w:cs="Times New Roman"/>
                <w:kern w:val="0"/>
                <w:sz w:val="20"/>
                <w:szCs w:val="20"/>
              </w:rPr>
              <w:t>项目名称</w:t>
            </w:r>
          </w:p>
        </w:tc>
        <w:tc>
          <w:tcPr>
            <w:tcW w:w="1779" w:type="dxa"/>
            <w:tcBorders>
              <w:top w:val="nil"/>
              <w:left w:val="nil"/>
              <w:bottom w:val="single" w:color="auto" w:sz="4" w:space="0"/>
              <w:right w:val="single" w:color="auto" w:sz="4" w:space="0"/>
            </w:tcBorders>
            <w:shd w:val="clear" w:color="auto" w:fill="auto"/>
            <w:vAlign w:val="center"/>
          </w:tcPr>
          <w:p w14:paraId="3537151E">
            <w:pPr>
              <w:widowControl/>
              <w:spacing w:line="240" w:lineRule="auto"/>
              <w:ind w:firstLine="0" w:firstLineChars="0"/>
              <w:jc w:val="left"/>
              <w:rPr>
                <w:rFonts w:cs="宋体"/>
                <w:kern w:val="0"/>
                <w:sz w:val="20"/>
                <w:szCs w:val="20"/>
              </w:rPr>
            </w:pPr>
            <w:r>
              <w:rPr>
                <w:rFonts w:hint="eastAsia" w:cs="宋体"/>
                <w:kern w:val="0"/>
                <w:sz w:val="20"/>
                <w:szCs w:val="20"/>
              </w:rPr>
              <w:t>排水管网维护保养与管理项目</w:t>
            </w:r>
          </w:p>
        </w:tc>
        <w:tc>
          <w:tcPr>
            <w:tcW w:w="2040" w:type="dxa"/>
            <w:tcBorders>
              <w:top w:val="nil"/>
              <w:left w:val="nil"/>
              <w:bottom w:val="single" w:color="auto" w:sz="4" w:space="0"/>
              <w:right w:val="single" w:color="auto" w:sz="4" w:space="0"/>
            </w:tcBorders>
            <w:shd w:val="clear" w:color="auto" w:fill="auto"/>
            <w:vAlign w:val="center"/>
          </w:tcPr>
          <w:p w14:paraId="02DDA9EA">
            <w:pPr>
              <w:widowControl/>
              <w:spacing w:line="240" w:lineRule="auto"/>
              <w:ind w:firstLine="0" w:firstLineChars="0"/>
              <w:jc w:val="left"/>
              <w:rPr>
                <w:rFonts w:cs="Times New Roman"/>
                <w:kern w:val="0"/>
                <w:sz w:val="20"/>
                <w:szCs w:val="20"/>
              </w:rPr>
            </w:pPr>
            <w:r>
              <w:rPr>
                <w:rFonts w:cs="Times New Roman"/>
                <w:kern w:val="0"/>
                <w:sz w:val="20"/>
                <w:szCs w:val="20"/>
              </w:rPr>
              <w:t>　</w:t>
            </w:r>
          </w:p>
        </w:tc>
        <w:tc>
          <w:tcPr>
            <w:tcW w:w="1418" w:type="dxa"/>
            <w:tcBorders>
              <w:top w:val="nil"/>
              <w:left w:val="nil"/>
              <w:bottom w:val="single" w:color="auto" w:sz="4" w:space="0"/>
              <w:right w:val="single" w:color="auto" w:sz="4" w:space="0"/>
            </w:tcBorders>
            <w:shd w:val="clear" w:color="auto" w:fill="auto"/>
            <w:vAlign w:val="center"/>
          </w:tcPr>
          <w:p w14:paraId="0AA627CE">
            <w:pPr>
              <w:widowControl/>
              <w:spacing w:line="240" w:lineRule="auto"/>
              <w:ind w:firstLine="0" w:firstLineChars="0"/>
              <w:jc w:val="left"/>
              <w:rPr>
                <w:rFonts w:cs="Times New Roman"/>
                <w:kern w:val="0"/>
                <w:sz w:val="20"/>
                <w:szCs w:val="20"/>
              </w:rPr>
            </w:pPr>
            <w:r>
              <w:rPr>
                <w:rFonts w:cs="Times New Roman"/>
                <w:kern w:val="0"/>
                <w:sz w:val="20"/>
                <w:szCs w:val="20"/>
              </w:rPr>
              <w:t>　</w:t>
            </w:r>
          </w:p>
        </w:tc>
        <w:tc>
          <w:tcPr>
            <w:tcW w:w="916" w:type="dxa"/>
            <w:tcBorders>
              <w:top w:val="nil"/>
              <w:left w:val="nil"/>
              <w:bottom w:val="single" w:color="auto" w:sz="4" w:space="0"/>
              <w:right w:val="single" w:color="auto" w:sz="4" w:space="0"/>
            </w:tcBorders>
            <w:shd w:val="clear" w:color="auto" w:fill="auto"/>
            <w:vAlign w:val="center"/>
          </w:tcPr>
          <w:p w14:paraId="20A9DC35">
            <w:pPr>
              <w:widowControl/>
              <w:spacing w:line="240" w:lineRule="auto"/>
              <w:ind w:firstLine="0" w:firstLineChars="0"/>
              <w:jc w:val="left"/>
              <w:rPr>
                <w:rFonts w:cs="Times New Roman"/>
                <w:kern w:val="0"/>
                <w:sz w:val="20"/>
                <w:szCs w:val="20"/>
              </w:rPr>
            </w:pPr>
            <w:r>
              <w:rPr>
                <w:rFonts w:cs="Times New Roman"/>
                <w:kern w:val="0"/>
                <w:sz w:val="20"/>
                <w:szCs w:val="20"/>
              </w:rPr>
              <w:t>　</w:t>
            </w:r>
          </w:p>
        </w:tc>
        <w:tc>
          <w:tcPr>
            <w:tcW w:w="1236" w:type="dxa"/>
            <w:tcBorders>
              <w:top w:val="nil"/>
              <w:left w:val="nil"/>
              <w:bottom w:val="single" w:color="auto" w:sz="4" w:space="0"/>
              <w:right w:val="single" w:color="auto" w:sz="4" w:space="0"/>
            </w:tcBorders>
            <w:shd w:val="clear" w:color="auto" w:fill="auto"/>
            <w:vAlign w:val="center"/>
          </w:tcPr>
          <w:p w14:paraId="7CD7B8F3">
            <w:pPr>
              <w:widowControl/>
              <w:spacing w:line="240" w:lineRule="auto"/>
              <w:ind w:firstLine="0" w:firstLineChars="0"/>
              <w:jc w:val="left"/>
              <w:rPr>
                <w:rFonts w:ascii="Times New Roman" w:hAnsi="Times New Roman" w:eastAsia="等线" w:cs="Times New Roman"/>
                <w:kern w:val="0"/>
                <w:szCs w:val="24"/>
              </w:rPr>
            </w:pPr>
            <w:r>
              <w:rPr>
                <w:rFonts w:ascii="Times New Roman" w:hAnsi="Times New Roman" w:eastAsia="等线" w:cs="Times New Roman"/>
                <w:kern w:val="0"/>
                <w:szCs w:val="24"/>
              </w:rPr>
              <w:t>　</w:t>
            </w:r>
          </w:p>
        </w:tc>
      </w:tr>
      <w:tr w14:paraId="20B08F33">
        <w:tblPrEx>
          <w:tblCellMar>
            <w:top w:w="0" w:type="dxa"/>
            <w:left w:w="108" w:type="dxa"/>
            <w:bottom w:w="0" w:type="dxa"/>
            <w:right w:w="108" w:type="dxa"/>
          </w:tblCellMar>
        </w:tblPrEx>
        <w:trPr>
          <w:trHeight w:val="714" w:hRule="atLeast"/>
        </w:trPr>
        <w:tc>
          <w:tcPr>
            <w:tcW w:w="1133" w:type="dxa"/>
            <w:tcBorders>
              <w:top w:val="nil"/>
              <w:left w:val="single" w:color="auto" w:sz="4" w:space="0"/>
              <w:bottom w:val="single" w:color="auto" w:sz="4" w:space="0"/>
              <w:right w:val="single" w:color="auto" w:sz="4" w:space="0"/>
            </w:tcBorders>
            <w:shd w:val="clear" w:color="auto" w:fill="auto"/>
            <w:vAlign w:val="center"/>
          </w:tcPr>
          <w:p w14:paraId="709819C7">
            <w:pPr>
              <w:widowControl/>
              <w:spacing w:line="240" w:lineRule="auto"/>
              <w:ind w:firstLine="0" w:firstLineChars="0"/>
              <w:jc w:val="left"/>
              <w:rPr>
                <w:rFonts w:cs="Times New Roman"/>
                <w:kern w:val="0"/>
                <w:sz w:val="20"/>
                <w:szCs w:val="20"/>
              </w:rPr>
            </w:pPr>
            <w:r>
              <w:rPr>
                <w:rFonts w:hint="eastAsia" w:cs="Times New Roman"/>
                <w:kern w:val="0"/>
                <w:sz w:val="20"/>
                <w:szCs w:val="20"/>
              </w:rPr>
              <w:t>主管部门</w:t>
            </w:r>
          </w:p>
        </w:tc>
        <w:tc>
          <w:tcPr>
            <w:tcW w:w="5237" w:type="dxa"/>
            <w:gridSpan w:val="3"/>
            <w:tcBorders>
              <w:top w:val="single" w:color="auto" w:sz="4" w:space="0"/>
              <w:left w:val="nil"/>
              <w:bottom w:val="single" w:color="auto" w:sz="4" w:space="0"/>
              <w:right w:val="single" w:color="auto" w:sz="4" w:space="0"/>
            </w:tcBorders>
            <w:shd w:val="clear" w:color="auto" w:fill="auto"/>
            <w:vAlign w:val="center"/>
          </w:tcPr>
          <w:p w14:paraId="32B9C9E0">
            <w:pPr>
              <w:widowControl/>
              <w:spacing w:line="240" w:lineRule="auto"/>
              <w:ind w:firstLine="0" w:firstLineChars="0"/>
              <w:jc w:val="left"/>
              <w:rPr>
                <w:rFonts w:cs="宋体"/>
                <w:kern w:val="0"/>
                <w:sz w:val="20"/>
                <w:szCs w:val="20"/>
              </w:rPr>
            </w:pPr>
            <w:r>
              <w:rPr>
                <w:rFonts w:hint="eastAsia" w:cs="宋体"/>
                <w:kern w:val="0"/>
                <w:sz w:val="20"/>
                <w:szCs w:val="20"/>
              </w:rPr>
              <w:t>武汉市硚口区水务局</w:t>
            </w:r>
          </w:p>
        </w:tc>
        <w:tc>
          <w:tcPr>
            <w:tcW w:w="916" w:type="dxa"/>
            <w:tcBorders>
              <w:top w:val="single" w:color="auto" w:sz="4" w:space="0"/>
              <w:left w:val="nil"/>
              <w:bottom w:val="single" w:color="auto" w:sz="4" w:space="0"/>
              <w:right w:val="single" w:color="auto" w:sz="4" w:space="0"/>
            </w:tcBorders>
            <w:shd w:val="clear" w:color="auto" w:fill="auto"/>
            <w:vAlign w:val="center"/>
          </w:tcPr>
          <w:p w14:paraId="4A54FDDF">
            <w:pPr>
              <w:widowControl/>
              <w:spacing w:line="240" w:lineRule="auto"/>
              <w:ind w:firstLine="0" w:firstLineChars="0"/>
              <w:jc w:val="left"/>
              <w:rPr>
                <w:rFonts w:cs="Times New Roman"/>
                <w:kern w:val="0"/>
                <w:sz w:val="20"/>
                <w:szCs w:val="20"/>
              </w:rPr>
            </w:pPr>
            <w:r>
              <w:rPr>
                <w:rFonts w:hint="eastAsia" w:cs="Times New Roman"/>
                <w:kern w:val="0"/>
                <w:sz w:val="20"/>
                <w:szCs w:val="20"/>
              </w:rPr>
              <w:t>项目实施单位</w:t>
            </w:r>
          </w:p>
        </w:tc>
        <w:tc>
          <w:tcPr>
            <w:tcW w:w="1236" w:type="dxa"/>
            <w:tcBorders>
              <w:top w:val="single" w:color="auto" w:sz="4" w:space="0"/>
              <w:left w:val="nil"/>
              <w:bottom w:val="single" w:color="auto" w:sz="4" w:space="0"/>
              <w:right w:val="single" w:color="auto" w:sz="4" w:space="0"/>
            </w:tcBorders>
            <w:shd w:val="clear" w:color="auto" w:fill="auto"/>
            <w:vAlign w:val="center"/>
          </w:tcPr>
          <w:p w14:paraId="7E6BDD33">
            <w:pPr>
              <w:widowControl/>
              <w:spacing w:line="240" w:lineRule="auto"/>
              <w:ind w:firstLine="0" w:firstLineChars="0"/>
              <w:rPr>
                <w:rFonts w:cs="Times New Roman" w:asciiTheme="minorEastAsia" w:hAnsiTheme="minorEastAsia" w:eastAsiaTheme="minorEastAsia"/>
                <w:kern w:val="0"/>
                <w:sz w:val="20"/>
                <w:szCs w:val="20"/>
              </w:rPr>
            </w:pPr>
            <w:r>
              <w:rPr>
                <w:rFonts w:hint="eastAsia" w:cs="宋体"/>
                <w:kern w:val="0"/>
                <w:sz w:val="20"/>
                <w:szCs w:val="20"/>
              </w:rPr>
              <w:t>武汉市硚口区市政排水设施维修队</w:t>
            </w:r>
          </w:p>
        </w:tc>
      </w:tr>
      <w:tr w14:paraId="2B7AEC20">
        <w:tblPrEx>
          <w:tblCellMar>
            <w:top w:w="0" w:type="dxa"/>
            <w:left w:w="108" w:type="dxa"/>
            <w:bottom w:w="0" w:type="dxa"/>
            <w:right w:w="108" w:type="dxa"/>
          </w:tblCellMar>
        </w:tblPrEx>
        <w:trPr>
          <w:trHeight w:val="377" w:hRule="atLeast"/>
        </w:trPr>
        <w:tc>
          <w:tcPr>
            <w:tcW w:w="1133" w:type="dxa"/>
            <w:tcBorders>
              <w:top w:val="nil"/>
              <w:left w:val="single" w:color="auto" w:sz="4" w:space="0"/>
              <w:bottom w:val="single" w:color="auto" w:sz="4" w:space="0"/>
              <w:right w:val="single" w:color="auto" w:sz="4" w:space="0"/>
            </w:tcBorders>
            <w:shd w:val="clear" w:color="auto" w:fill="auto"/>
            <w:vAlign w:val="center"/>
          </w:tcPr>
          <w:p w14:paraId="4E4DA320">
            <w:pPr>
              <w:widowControl/>
              <w:spacing w:line="240" w:lineRule="auto"/>
              <w:ind w:firstLine="0" w:firstLineChars="0"/>
              <w:jc w:val="left"/>
              <w:rPr>
                <w:rFonts w:cs="Times New Roman"/>
                <w:kern w:val="0"/>
                <w:sz w:val="20"/>
                <w:szCs w:val="20"/>
              </w:rPr>
            </w:pPr>
            <w:r>
              <w:rPr>
                <w:rFonts w:hint="eastAsia" w:cs="Times New Roman"/>
                <w:kern w:val="0"/>
                <w:sz w:val="20"/>
                <w:szCs w:val="20"/>
              </w:rPr>
              <w:t>项目类别</w:t>
            </w:r>
          </w:p>
        </w:tc>
        <w:tc>
          <w:tcPr>
            <w:tcW w:w="7389" w:type="dxa"/>
            <w:gridSpan w:val="5"/>
            <w:tcBorders>
              <w:top w:val="single" w:color="auto" w:sz="4" w:space="0"/>
              <w:left w:val="nil"/>
              <w:bottom w:val="single" w:color="auto" w:sz="4" w:space="0"/>
              <w:right w:val="single" w:color="auto" w:sz="4" w:space="0"/>
            </w:tcBorders>
            <w:shd w:val="clear" w:color="auto" w:fill="auto"/>
            <w:vAlign w:val="center"/>
          </w:tcPr>
          <w:p w14:paraId="4695DE99">
            <w:pPr>
              <w:widowControl/>
              <w:spacing w:line="240" w:lineRule="auto"/>
              <w:ind w:firstLine="0" w:firstLineChars="0"/>
              <w:jc w:val="left"/>
              <w:rPr>
                <w:rFonts w:cs="Times New Roman"/>
                <w:kern w:val="0"/>
                <w:sz w:val="20"/>
                <w:szCs w:val="20"/>
              </w:rPr>
            </w:pPr>
            <w:r>
              <w:rPr>
                <w:rFonts w:cs="Times New Roman"/>
                <w:color w:val="FF0000"/>
                <w:kern w:val="0"/>
                <w:sz w:val="20"/>
                <w:szCs w:val="20"/>
              </w:rPr>
              <w:t>1</w:t>
            </w:r>
            <w:r>
              <w:rPr>
                <w:rFonts w:hint="eastAsia" w:cs="Times New Roman"/>
                <w:color w:val="FF0000"/>
                <w:kern w:val="0"/>
                <w:sz w:val="20"/>
                <w:szCs w:val="20"/>
              </w:rPr>
              <w:t>、部门预算项目√</w:t>
            </w:r>
            <w:r>
              <w:rPr>
                <w:rFonts w:cs="Times New Roman"/>
                <w:kern w:val="0"/>
                <w:sz w:val="20"/>
                <w:szCs w:val="20"/>
              </w:rPr>
              <w:t xml:space="preserve">  2</w:t>
            </w:r>
            <w:r>
              <w:rPr>
                <w:rFonts w:hint="eastAsia" w:cs="Times New Roman"/>
                <w:kern w:val="0"/>
                <w:sz w:val="20"/>
                <w:szCs w:val="20"/>
              </w:rPr>
              <w:t>、专项资金□</w:t>
            </w:r>
            <w:r>
              <w:rPr>
                <w:rFonts w:cs="Times New Roman"/>
                <w:kern w:val="0"/>
                <w:sz w:val="20"/>
                <w:szCs w:val="20"/>
              </w:rPr>
              <w:t xml:space="preserve">  3</w:t>
            </w:r>
            <w:r>
              <w:rPr>
                <w:rFonts w:hint="eastAsia" w:cs="Times New Roman"/>
                <w:kern w:val="0"/>
                <w:sz w:val="20"/>
                <w:szCs w:val="20"/>
              </w:rPr>
              <w:t>、上级转移支付项目□</w:t>
            </w:r>
          </w:p>
        </w:tc>
      </w:tr>
      <w:tr w14:paraId="786B9259">
        <w:tblPrEx>
          <w:tblCellMar>
            <w:top w:w="0" w:type="dxa"/>
            <w:left w:w="108" w:type="dxa"/>
            <w:bottom w:w="0" w:type="dxa"/>
            <w:right w:w="108" w:type="dxa"/>
          </w:tblCellMar>
        </w:tblPrEx>
        <w:trPr>
          <w:trHeight w:val="410" w:hRule="atLeast"/>
        </w:trPr>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62F1D470">
            <w:pPr>
              <w:widowControl/>
              <w:spacing w:line="240" w:lineRule="auto"/>
              <w:ind w:firstLine="0" w:firstLineChars="0"/>
              <w:jc w:val="left"/>
              <w:rPr>
                <w:rFonts w:cs="Times New Roman"/>
                <w:kern w:val="0"/>
                <w:sz w:val="20"/>
                <w:szCs w:val="20"/>
              </w:rPr>
            </w:pPr>
            <w:r>
              <w:rPr>
                <w:rFonts w:hint="eastAsia" w:cs="Times New Roman"/>
                <w:kern w:val="0"/>
                <w:sz w:val="20"/>
                <w:szCs w:val="20"/>
              </w:rPr>
              <w:t>项目属性</w:t>
            </w:r>
          </w:p>
        </w:tc>
        <w:tc>
          <w:tcPr>
            <w:tcW w:w="738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9E96A04">
            <w:pPr>
              <w:widowControl/>
              <w:spacing w:line="240" w:lineRule="auto"/>
              <w:ind w:firstLine="0" w:firstLineChars="0"/>
              <w:jc w:val="left"/>
              <w:rPr>
                <w:rFonts w:cs="Times New Roman"/>
                <w:kern w:val="0"/>
                <w:sz w:val="20"/>
                <w:szCs w:val="20"/>
              </w:rPr>
            </w:pPr>
            <w:r>
              <w:rPr>
                <w:rFonts w:cs="Times New Roman"/>
                <w:kern w:val="0"/>
                <w:sz w:val="20"/>
                <w:szCs w:val="20"/>
              </w:rPr>
              <w:t>1</w:t>
            </w:r>
            <w:r>
              <w:rPr>
                <w:rFonts w:hint="eastAsia" w:cs="Times New Roman"/>
                <w:kern w:val="0"/>
                <w:sz w:val="20"/>
                <w:szCs w:val="20"/>
              </w:rPr>
              <w:t>、持续性项目√</w:t>
            </w:r>
            <w:r>
              <w:rPr>
                <w:rFonts w:cs="Times New Roman"/>
                <w:kern w:val="0"/>
                <w:sz w:val="20"/>
                <w:szCs w:val="20"/>
              </w:rPr>
              <w:t xml:space="preserve">  2</w:t>
            </w:r>
            <w:r>
              <w:rPr>
                <w:rFonts w:hint="eastAsia" w:cs="Times New Roman"/>
                <w:kern w:val="0"/>
                <w:sz w:val="20"/>
                <w:szCs w:val="20"/>
              </w:rPr>
              <w:t>、新增项目□</w:t>
            </w:r>
          </w:p>
        </w:tc>
      </w:tr>
      <w:tr w14:paraId="48E33357">
        <w:tblPrEx>
          <w:tblCellMar>
            <w:top w:w="0" w:type="dxa"/>
            <w:left w:w="108" w:type="dxa"/>
            <w:bottom w:w="0" w:type="dxa"/>
            <w:right w:w="108" w:type="dxa"/>
          </w:tblCellMar>
        </w:tblPrEx>
        <w:trPr>
          <w:trHeight w:val="375" w:hRule="atLeast"/>
        </w:trPr>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7644BA9A">
            <w:pPr>
              <w:widowControl/>
              <w:spacing w:line="240" w:lineRule="auto"/>
              <w:ind w:firstLine="0" w:firstLineChars="0"/>
              <w:jc w:val="left"/>
              <w:rPr>
                <w:rFonts w:cs="Times New Roman"/>
                <w:kern w:val="0"/>
                <w:sz w:val="20"/>
                <w:szCs w:val="20"/>
              </w:rPr>
            </w:pPr>
            <w:r>
              <w:rPr>
                <w:rFonts w:hint="eastAsia" w:cs="Times New Roman"/>
                <w:kern w:val="0"/>
                <w:sz w:val="20"/>
                <w:szCs w:val="20"/>
              </w:rPr>
              <w:t>项目类型</w:t>
            </w:r>
          </w:p>
        </w:tc>
        <w:tc>
          <w:tcPr>
            <w:tcW w:w="7389" w:type="dxa"/>
            <w:gridSpan w:val="5"/>
            <w:tcBorders>
              <w:top w:val="single" w:color="auto" w:sz="4" w:space="0"/>
              <w:left w:val="nil"/>
              <w:bottom w:val="single" w:color="auto" w:sz="4" w:space="0"/>
              <w:right w:val="single" w:color="auto" w:sz="4" w:space="0"/>
            </w:tcBorders>
            <w:shd w:val="clear" w:color="auto" w:fill="auto"/>
            <w:vAlign w:val="center"/>
          </w:tcPr>
          <w:p w14:paraId="71E79804">
            <w:pPr>
              <w:widowControl/>
              <w:spacing w:line="240" w:lineRule="auto"/>
              <w:ind w:firstLine="0" w:firstLineChars="0"/>
              <w:jc w:val="left"/>
              <w:rPr>
                <w:rFonts w:cs="Times New Roman"/>
                <w:kern w:val="0"/>
                <w:sz w:val="20"/>
                <w:szCs w:val="20"/>
              </w:rPr>
            </w:pPr>
            <w:r>
              <w:rPr>
                <w:rFonts w:cs="Times New Roman"/>
                <w:kern w:val="0"/>
                <w:sz w:val="20"/>
                <w:szCs w:val="20"/>
              </w:rPr>
              <w:t>1</w:t>
            </w:r>
            <w:r>
              <w:rPr>
                <w:rFonts w:hint="eastAsia" w:cs="Times New Roman"/>
                <w:kern w:val="0"/>
                <w:sz w:val="20"/>
                <w:szCs w:val="20"/>
              </w:rPr>
              <w:t>、常年性项目√</w:t>
            </w:r>
            <w:r>
              <w:rPr>
                <w:rFonts w:cs="Times New Roman"/>
                <w:kern w:val="0"/>
                <w:sz w:val="20"/>
                <w:szCs w:val="20"/>
              </w:rPr>
              <w:t xml:space="preserve">  2</w:t>
            </w:r>
            <w:r>
              <w:rPr>
                <w:rFonts w:hint="eastAsia" w:cs="Times New Roman"/>
                <w:kern w:val="0"/>
                <w:sz w:val="20"/>
                <w:szCs w:val="20"/>
              </w:rPr>
              <w:t>、延续性项目□</w:t>
            </w:r>
            <w:r>
              <w:rPr>
                <w:rFonts w:cs="Times New Roman"/>
                <w:kern w:val="0"/>
                <w:sz w:val="20"/>
                <w:szCs w:val="20"/>
              </w:rPr>
              <w:t xml:space="preserve">  3</w:t>
            </w:r>
            <w:r>
              <w:rPr>
                <w:rFonts w:hint="eastAsia" w:cs="Times New Roman"/>
                <w:kern w:val="0"/>
                <w:sz w:val="20"/>
                <w:szCs w:val="20"/>
              </w:rPr>
              <w:t>、一次性项目□</w:t>
            </w:r>
          </w:p>
        </w:tc>
      </w:tr>
      <w:tr w14:paraId="37EEF006">
        <w:tblPrEx>
          <w:tblCellMar>
            <w:top w:w="0" w:type="dxa"/>
            <w:left w:w="108" w:type="dxa"/>
            <w:bottom w:w="0" w:type="dxa"/>
            <w:right w:w="108" w:type="dxa"/>
          </w:tblCellMar>
        </w:tblPrEx>
        <w:trPr>
          <w:trHeight w:val="423" w:hRule="atLeast"/>
        </w:trPr>
        <w:tc>
          <w:tcPr>
            <w:tcW w:w="11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9D056A">
            <w:pPr>
              <w:widowControl/>
              <w:spacing w:line="240" w:lineRule="auto"/>
              <w:ind w:firstLine="0" w:firstLineChars="0"/>
              <w:jc w:val="left"/>
              <w:rPr>
                <w:rFonts w:cs="Times New Roman"/>
                <w:kern w:val="0"/>
                <w:sz w:val="20"/>
                <w:szCs w:val="20"/>
              </w:rPr>
            </w:pPr>
            <w:r>
              <w:rPr>
                <w:rFonts w:hint="eastAsia" w:cs="Times New Roman"/>
                <w:kern w:val="0"/>
                <w:sz w:val="20"/>
                <w:szCs w:val="20"/>
              </w:rPr>
              <w:t>预算执行情况（</w:t>
            </w:r>
            <w:r>
              <w:rPr>
                <w:rFonts w:cs="Times New Roman"/>
                <w:kern w:val="0"/>
                <w:sz w:val="20"/>
                <w:szCs w:val="20"/>
              </w:rPr>
              <w:t>20</w:t>
            </w:r>
            <w:r>
              <w:rPr>
                <w:rFonts w:hint="eastAsia" w:cs="Times New Roman"/>
                <w:kern w:val="0"/>
                <w:sz w:val="20"/>
                <w:szCs w:val="20"/>
              </w:rPr>
              <w:t>分）</w:t>
            </w:r>
          </w:p>
        </w:tc>
        <w:tc>
          <w:tcPr>
            <w:tcW w:w="1779" w:type="dxa"/>
            <w:tcBorders>
              <w:top w:val="single" w:color="auto" w:sz="4" w:space="0"/>
              <w:left w:val="nil"/>
              <w:bottom w:val="single" w:color="auto" w:sz="4" w:space="0"/>
              <w:right w:val="single" w:color="auto" w:sz="4" w:space="0"/>
            </w:tcBorders>
            <w:shd w:val="clear" w:color="auto" w:fill="auto"/>
            <w:vAlign w:val="center"/>
          </w:tcPr>
          <w:p w14:paraId="2EA8195C">
            <w:pPr>
              <w:widowControl/>
              <w:spacing w:line="240" w:lineRule="auto"/>
              <w:ind w:firstLine="0" w:firstLineChars="0"/>
              <w:jc w:val="left"/>
              <w:rPr>
                <w:rFonts w:cs="Times New Roman"/>
                <w:kern w:val="0"/>
                <w:sz w:val="20"/>
                <w:szCs w:val="20"/>
              </w:rPr>
            </w:pPr>
            <w:r>
              <w:rPr>
                <w:rFonts w:cs="Times New Roman"/>
                <w:kern w:val="0"/>
                <w:sz w:val="20"/>
                <w:szCs w:val="20"/>
              </w:rPr>
              <w:t>　</w:t>
            </w:r>
          </w:p>
        </w:tc>
        <w:tc>
          <w:tcPr>
            <w:tcW w:w="2040" w:type="dxa"/>
            <w:tcBorders>
              <w:top w:val="single" w:color="auto" w:sz="4" w:space="0"/>
              <w:left w:val="nil"/>
              <w:bottom w:val="single" w:color="auto" w:sz="4" w:space="0"/>
              <w:right w:val="single" w:color="auto" w:sz="4" w:space="0"/>
            </w:tcBorders>
            <w:shd w:val="clear" w:color="auto" w:fill="auto"/>
            <w:vAlign w:val="center"/>
          </w:tcPr>
          <w:p w14:paraId="3A64EAFF">
            <w:pPr>
              <w:widowControl/>
              <w:spacing w:line="240" w:lineRule="auto"/>
              <w:ind w:firstLine="0" w:firstLineChars="0"/>
              <w:jc w:val="center"/>
              <w:rPr>
                <w:rFonts w:cs="Times New Roman"/>
                <w:kern w:val="0"/>
                <w:sz w:val="20"/>
                <w:szCs w:val="20"/>
              </w:rPr>
            </w:pPr>
            <w:r>
              <w:rPr>
                <w:rFonts w:hint="eastAsia" w:cs="Times New Roman"/>
                <w:kern w:val="0"/>
                <w:sz w:val="20"/>
                <w:szCs w:val="20"/>
              </w:rPr>
              <w:t>预算数（</w:t>
            </w:r>
            <w:r>
              <w:rPr>
                <w:rFonts w:cs="Times New Roman"/>
                <w:kern w:val="0"/>
                <w:sz w:val="20"/>
                <w:szCs w:val="20"/>
              </w:rPr>
              <w:t>A</w:t>
            </w:r>
            <w:r>
              <w:rPr>
                <w:rFonts w:hint="eastAsia" w:cs="Times New Roman"/>
                <w:kern w:val="0"/>
                <w:sz w:val="20"/>
                <w:szCs w:val="20"/>
              </w:rPr>
              <w:t>）</w:t>
            </w:r>
          </w:p>
        </w:tc>
        <w:tc>
          <w:tcPr>
            <w:tcW w:w="1418" w:type="dxa"/>
            <w:tcBorders>
              <w:top w:val="single" w:color="auto" w:sz="4" w:space="0"/>
              <w:left w:val="nil"/>
              <w:bottom w:val="single" w:color="auto" w:sz="4" w:space="0"/>
              <w:right w:val="single" w:color="auto" w:sz="4" w:space="0"/>
            </w:tcBorders>
            <w:shd w:val="clear" w:color="auto" w:fill="auto"/>
            <w:vAlign w:val="center"/>
          </w:tcPr>
          <w:p w14:paraId="704925FE">
            <w:pPr>
              <w:widowControl/>
              <w:spacing w:line="240" w:lineRule="auto"/>
              <w:ind w:firstLine="0" w:firstLineChars="0"/>
              <w:jc w:val="center"/>
              <w:rPr>
                <w:rFonts w:cs="Times New Roman"/>
                <w:kern w:val="0"/>
                <w:sz w:val="20"/>
                <w:szCs w:val="20"/>
              </w:rPr>
            </w:pPr>
            <w:r>
              <w:rPr>
                <w:rFonts w:hint="eastAsia" w:cs="Times New Roman"/>
                <w:kern w:val="0"/>
                <w:sz w:val="20"/>
                <w:szCs w:val="20"/>
              </w:rPr>
              <w:t>执行数（</w:t>
            </w:r>
            <w:r>
              <w:rPr>
                <w:rFonts w:cs="Times New Roman"/>
                <w:kern w:val="0"/>
                <w:sz w:val="20"/>
                <w:szCs w:val="20"/>
              </w:rPr>
              <w:t>B</w:t>
            </w:r>
            <w:r>
              <w:rPr>
                <w:rFonts w:hint="eastAsia" w:cs="Times New Roman"/>
                <w:kern w:val="0"/>
                <w:sz w:val="20"/>
                <w:szCs w:val="20"/>
              </w:rPr>
              <w:t>）</w:t>
            </w:r>
          </w:p>
        </w:tc>
        <w:tc>
          <w:tcPr>
            <w:tcW w:w="916" w:type="dxa"/>
            <w:tcBorders>
              <w:top w:val="single" w:color="auto" w:sz="4" w:space="0"/>
              <w:left w:val="nil"/>
              <w:bottom w:val="single" w:color="auto" w:sz="4" w:space="0"/>
              <w:right w:val="single" w:color="auto" w:sz="4" w:space="0"/>
            </w:tcBorders>
            <w:shd w:val="clear" w:color="auto" w:fill="auto"/>
            <w:vAlign w:val="center"/>
          </w:tcPr>
          <w:p w14:paraId="069DDF68">
            <w:pPr>
              <w:widowControl/>
              <w:spacing w:line="240" w:lineRule="auto"/>
              <w:ind w:firstLine="0" w:firstLineChars="0"/>
              <w:jc w:val="center"/>
              <w:rPr>
                <w:rFonts w:cs="Times New Roman"/>
                <w:kern w:val="0"/>
                <w:sz w:val="20"/>
                <w:szCs w:val="20"/>
              </w:rPr>
            </w:pPr>
            <w:r>
              <w:rPr>
                <w:rFonts w:hint="eastAsia" w:cs="Times New Roman"/>
                <w:kern w:val="0"/>
                <w:sz w:val="20"/>
                <w:szCs w:val="20"/>
              </w:rPr>
              <w:t>执行率（</w:t>
            </w:r>
            <w:r>
              <w:rPr>
                <w:rFonts w:cs="Times New Roman"/>
                <w:kern w:val="0"/>
                <w:sz w:val="20"/>
                <w:szCs w:val="20"/>
              </w:rPr>
              <w:t>B/A</w:t>
            </w:r>
            <w:r>
              <w:rPr>
                <w:rFonts w:hint="eastAsia" w:cs="Times New Roman"/>
                <w:kern w:val="0"/>
                <w:sz w:val="20"/>
                <w:szCs w:val="20"/>
              </w:rPr>
              <w:t>）</w:t>
            </w:r>
          </w:p>
        </w:tc>
        <w:tc>
          <w:tcPr>
            <w:tcW w:w="1236" w:type="dxa"/>
            <w:tcBorders>
              <w:top w:val="single" w:color="auto" w:sz="4" w:space="0"/>
              <w:left w:val="nil"/>
              <w:bottom w:val="single" w:color="auto" w:sz="4" w:space="0"/>
              <w:right w:val="single" w:color="auto" w:sz="4" w:space="0"/>
            </w:tcBorders>
            <w:shd w:val="clear" w:color="auto" w:fill="auto"/>
            <w:vAlign w:val="center"/>
          </w:tcPr>
          <w:p w14:paraId="4BD48187">
            <w:pPr>
              <w:widowControl/>
              <w:spacing w:line="240" w:lineRule="auto"/>
              <w:ind w:firstLine="0" w:firstLineChars="0"/>
              <w:jc w:val="center"/>
              <w:rPr>
                <w:rFonts w:ascii="Times New Roman" w:hAnsi="Times New Roman" w:eastAsia="等线" w:cs="Times New Roman"/>
                <w:kern w:val="0"/>
                <w:szCs w:val="24"/>
              </w:rPr>
            </w:pPr>
            <w:r>
              <w:rPr>
                <w:rFonts w:hint="eastAsia" w:cs="Times New Roman"/>
                <w:kern w:val="0"/>
                <w:sz w:val="20"/>
                <w:szCs w:val="20"/>
              </w:rPr>
              <w:t>得分（</w:t>
            </w:r>
            <w:r>
              <w:rPr>
                <w:rFonts w:cs="Times New Roman"/>
                <w:kern w:val="0"/>
                <w:sz w:val="20"/>
                <w:szCs w:val="20"/>
              </w:rPr>
              <w:t>20</w:t>
            </w:r>
            <w:r>
              <w:rPr>
                <w:rFonts w:hint="eastAsia" w:cs="Times New Roman"/>
                <w:kern w:val="0"/>
                <w:sz w:val="20"/>
                <w:szCs w:val="20"/>
              </w:rPr>
              <w:t>分</w:t>
            </w:r>
            <w:r>
              <w:rPr>
                <w:rFonts w:cs="Times New Roman"/>
                <w:kern w:val="0"/>
                <w:sz w:val="20"/>
                <w:szCs w:val="20"/>
              </w:rPr>
              <w:t>*</w:t>
            </w:r>
            <w:r>
              <w:rPr>
                <w:rFonts w:hint="eastAsia" w:cs="Times New Roman"/>
                <w:kern w:val="0"/>
                <w:sz w:val="20"/>
                <w:szCs w:val="20"/>
              </w:rPr>
              <w:t>执行率）</w:t>
            </w:r>
          </w:p>
        </w:tc>
      </w:tr>
      <w:tr w14:paraId="12F79424">
        <w:tblPrEx>
          <w:tblCellMar>
            <w:top w:w="0" w:type="dxa"/>
            <w:left w:w="108" w:type="dxa"/>
            <w:bottom w:w="0" w:type="dxa"/>
            <w:right w:w="108" w:type="dxa"/>
          </w:tblCellMar>
        </w:tblPrEx>
        <w:trPr>
          <w:trHeight w:val="389" w:hRule="atLeast"/>
        </w:trPr>
        <w:tc>
          <w:tcPr>
            <w:tcW w:w="1133" w:type="dxa"/>
            <w:vMerge w:val="continue"/>
            <w:tcBorders>
              <w:top w:val="single" w:color="auto" w:sz="4" w:space="0"/>
              <w:left w:val="single" w:color="auto" w:sz="4" w:space="0"/>
              <w:bottom w:val="single" w:color="auto" w:sz="4" w:space="0"/>
              <w:right w:val="single" w:color="auto" w:sz="4" w:space="0"/>
            </w:tcBorders>
            <w:vAlign w:val="center"/>
          </w:tcPr>
          <w:p w14:paraId="2B0020BF">
            <w:pPr>
              <w:widowControl/>
              <w:spacing w:line="240" w:lineRule="auto"/>
              <w:ind w:firstLine="0" w:firstLineChars="0"/>
              <w:jc w:val="left"/>
              <w:rPr>
                <w:rFonts w:cs="Times New Roman"/>
                <w:kern w:val="0"/>
                <w:sz w:val="20"/>
                <w:szCs w:val="20"/>
              </w:rPr>
            </w:pPr>
          </w:p>
        </w:tc>
        <w:tc>
          <w:tcPr>
            <w:tcW w:w="1779" w:type="dxa"/>
            <w:tcBorders>
              <w:top w:val="single" w:color="auto" w:sz="4" w:space="0"/>
              <w:left w:val="nil"/>
              <w:bottom w:val="single" w:color="auto" w:sz="4" w:space="0"/>
              <w:right w:val="single" w:color="auto" w:sz="4" w:space="0"/>
            </w:tcBorders>
            <w:shd w:val="clear" w:color="auto" w:fill="auto"/>
            <w:vAlign w:val="center"/>
          </w:tcPr>
          <w:p w14:paraId="1CF06FE2">
            <w:pPr>
              <w:widowControl/>
              <w:spacing w:line="240" w:lineRule="auto"/>
              <w:ind w:firstLine="0" w:firstLineChars="0"/>
              <w:jc w:val="left"/>
              <w:rPr>
                <w:rFonts w:cs="Times New Roman"/>
                <w:kern w:val="0"/>
                <w:sz w:val="20"/>
                <w:szCs w:val="20"/>
              </w:rPr>
            </w:pPr>
            <w:r>
              <w:rPr>
                <w:rFonts w:hint="eastAsia" w:cs="Times New Roman"/>
                <w:kern w:val="0"/>
                <w:sz w:val="20"/>
                <w:szCs w:val="20"/>
              </w:rPr>
              <w:t>年度财政资金总额</w:t>
            </w:r>
          </w:p>
        </w:tc>
        <w:tc>
          <w:tcPr>
            <w:tcW w:w="2040" w:type="dxa"/>
            <w:tcBorders>
              <w:top w:val="single" w:color="auto" w:sz="4" w:space="0"/>
              <w:left w:val="nil"/>
              <w:bottom w:val="single" w:color="auto" w:sz="4" w:space="0"/>
              <w:right w:val="single" w:color="auto" w:sz="4" w:space="0"/>
            </w:tcBorders>
            <w:shd w:val="clear" w:color="auto" w:fill="auto"/>
            <w:vAlign w:val="center"/>
          </w:tcPr>
          <w:p w14:paraId="26B1C270">
            <w:pPr>
              <w:widowControl/>
              <w:spacing w:line="240" w:lineRule="auto"/>
              <w:ind w:firstLine="0" w:firstLineChars="0"/>
              <w:jc w:val="right"/>
              <w:rPr>
                <w:rFonts w:cs="Times New Roman"/>
                <w:kern w:val="0"/>
                <w:sz w:val="20"/>
                <w:szCs w:val="20"/>
              </w:rPr>
            </w:pPr>
            <w:r>
              <w:rPr>
                <w:rFonts w:cs="Times New Roman"/>
                <w:kern w:val="0"/>
                <w:sz w:val="20"/>
                <w:szCs w:val="20"/>
              </w:rPr>
              <w:t>5</w:t>
            </w:r>
            <w:r>
              <w:rPr>
                <w:rFonts w:hint="eastAsia" w:cs="Times New Roman"/>
                <w:kern w:val="0"/>
                <w:sz w:val="20"/>
                <w:szCs w:val="20"/>
              </w:rPr>
              <w:t>,</w:t>
            </w:r>
            <w:r>
              <w:rPr>
                <w:rFonts w:cs="Times New Roman"/>
                <w:kern w:val="0"/>
                <w:sz w:val="20"/>
                <w:szCs w:val="20"/>
              </w:rPr>
              <w:t>914</w:t>
            </w:r>
            <w:r>
              <w:rPr>
                <w:rFonts w:hint="eastAsia" w:cs="Times New Roman"/>
                <w:kern w:val="0"/>
                <w:sz w:val="20"/>
                <w:szCs w:val="20"/>
              </w:rPr>
              <w:t>,</w:t>
            </w:r>
            <w:r>
              <w:rPr>
                <w:rFonts w:cs="Times New Roman"/>
                <w:kern w:val="0"/>
                <w:sz w:val="20"/>
                <w:szCs w:val="20"/>
              </w:rPr>
              <w:t>326</w:t>
            </w:r>
            <w:r>
              <w:rPr>
                <w:rFonts w:hint="eastAsia" w:cs="Times New Roman"/>
                <w:kern w:val="0"/>
                <w:sz w:val="20"/>
                <w:szCs w:val="20"/>
              </w:rPr>
              <w:t>.00</w:t>
            </w:r>
          </w:p>
        </w:tc>
        <w:tc>
          <w:tcPr>
            <w:tcW w:w="1418" w:type="dxa"/>
            <w:tcBorders>
              <w:top w:val="single" w:color="auto" w:sz="4" w:space="0"/>
              <w:left w:val="nil"/>
              <w:bottom w:val="single" w:color="auto" w:sz="4" w:space="0"/>
              <w:right w:val="single" w:color="auto" w:sz="4" w:space="0"/>
            </w:tcBorders>
            <w:shd w:val="clear" w:color="auto" w:fill="auto"/>
            <w:vAlign w:val="center"/>
          </w:tcPr>
          <w:p w14:paraId="0972E89D">
            <w:pPr>
              <w:widowControl/>
              <w:spacing w:line="240" w:lineRule="auto"/>
              <w:ind w:firstLine="0" w:firstLineChars="0"/>
              <w:jc w:val="right"/>
              <w:rPr>
                <w:rFonts w:cs="Times New Roman"/>
                <w:kern w:val="0"/>
                <w:sz w:val="20"/>
                <w:szCs w:val="20"/>
              </w:rPr>
            </w:pPr>
            <w:r>
              <w:rPr>
                <w:rFonts w:cs="Times New Roman"/>
                <w:kern w:val="0"/>
                <w:sz w:val="20"/>
                <w:szCs w:val="20"/>
              </w:rPr>
              <w:t>5</w:t>
            </w:r>
            <w:r>
              <w:rPr>
                <w:rFonts w:hint="eastAsia" w:cs="Times New Roman"/>
                <w:kern w:val="0"/>
                <w:sz w:val="20"/>
                <w:szCs w:val="20"/>
              </w:rPr>
              <w:t>,</w:t>
            </w:r>
            <w:r>
              <w:rPr>
                <w:rFonts w:cs="Times New Roman"/>
                <w:kern w:val="0"/>
                <w:sz w:val="20"/>
                <w:szCs w:val="20"/>
              </w:rPr>
              <w:t>91</w:t>
            </w:r>
            <w:r>
              <w:rPr>
                <w:rFonts w:hint="eastAsia" w:cs="Times New Roman"/>
                <w:kern w:val="0"/>
                <w:sz w:val="20"/>
                <w:szCs w:val="20"/>
              </w:rPr>
              <w:t>2,</w:t>
            </w:r>
            <w:r>
              <w:rPr>
                <w:rFonts w:cs="Times New Roman"/>
                <w:kern w:val="0"/>
                <w:sz w:val="20"/>
                <w:szCs w:val="20"/>
              </w:rPr>
              <w:t>326</w:t>
            </w:r>
            <w:r>
              <w:rPr>
                <w:rFonts w:hint="eastAsia" w:cs="Times New Roman"/>
                <w:kern w:val="0"/>
                <w:sz w:val="20"/>
                <w:szCs w:val="20"/>
              </w:rPr>
              <w:t>.00</w:t>
            </w:r>
          </w:p>
        </w:tc>
        <w:tc>
          <w:tcPr>
            <w:tcW w:w="916" w:type="dxa"/>
            <w:tcBorders>
              <w:top w:val="single" w:color="auto" w:sz="4" w:space="0"/>
              <w:left w:val="nil"/>
              <w:bottom w:val="single" w:color="auto" w:sz="4" w:space="0"/>
              <w:right w:val="single" w:color="auto" w:sz="4" w:space="0"/>
            </w:tcBorders>
            <w:shd w:val="clear" w:color="auto" w:fill="auto"/>
            <w:vAlign w:val="center"/>
          </w:tcPr>
          <w:p w14:paraId="60B7E4FE">
            <w:pPr>
              <w:widowControl/>
              <w:spacing w:line="240" w:lineRule="auto"/>
              <w:ind w:firstLine="0" w:firstLineChars="0"/>
              <w:jc w:val="right"/>
              <w:rPr>
                <w:rFonts w:cs="Times New Roman"/>
                <w:kern w:val="0"/>
                <w:sz w:val="20"/>
                <w:szCs w:val="20"/>
              </w:rPr>
            </w:pPr>
            <w:r>
              <w:rPr>
                <w:rFonts w:hint="eastAsia" w:cs="Times New Roman"/>
                <w:kern w:val="0"/>
                <w:sz w:val="20"/>
                <w:szCs w:val="20"/>
              </w:rPr>
              <w:t>99.97</w:t>
            </w:r>
            <w:r>
              <w:rPr>
                <w:rFonts w:cs="Times New Roman"/>
                <w:kern w:val="0"/>
                <w:sz w:val="20"/>
                <w:szCs w:val="20"/>
              </w:rPr>
              <w:t>%</w:t>
            </w:r>
          </w:p>
        </w:tc>
        <w:tc>
          <w:tcPr>
            <w:tcW w:w="1236" w:type="dxa"/>
            <w:tcBorders>
              <w:top w:val="single" w:color="auto" w:sz="4" w:space="0"/>
              <w:left w:val="nil"/>
              <w:bottom w:val="single" w:color="auto" w:sz="4" w:space="0"/>
              <w:right w:val="single" w:color="auto" w:sz="4" w:space="0"/>
            </w:tcBorders>
            <w:shd w:val="clear" w:color="auto" w:fill="auto"/>
            <w:vAlign w:val="center"/>
          </w:tcPr>
          <w:p w14:paraId="6955A774">
            <w:pPr>
              <w:widowControl/>
              <w:spacing w:line="240" w:lineRule="auto"/>
              <w:ind w:firstLine="0" w:firstLineChars="0"/>
              <w:jc w:val="center"/>
              <w:rPr>
                <w:rFonts w:cs="Times New Roman"/>
                <w:kern w:val="0"/>
                <w:sz w:val="20"/>
                <w:szCs w:val="20"/>
              </w:rPr>
            </w:pPr>
            <w:r>
              <w:rPr>
                <w:rFonts w:hint="eastAsia" w:cs="Times New Roman"/>
                <w:kern w:val="0"/>
                <w:sz w:val="20"/>
                <w:szCs w:val="20"/>
              </w:rPr>
              <w:t>19.99</w:t>
            </w:r>
          </w:p>
        </w:tc>
      </w:tr>
      <w:tr w14:paraId="22D66C2C">
        <w:tblPrEx>
          <w:tblCellMar>
            <w:top w:w="0" w:type="dxa"/>
            <w:left w:w="108" w:type="dxa"/>
            <w:bottom w:w="0" w:type="dxa"/>
            <w:right w:w="108" w:type="dxa"/>
          </w:tblCellMar>
        </w:tblPrEx>
        <w:trPr>
          <w:trHeight w:val="551" w:hRule="atLeast"/>
        </w:trPr>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1FD5B183">
            <w:pPr>
              <w:widowControl/>
              <w:spacing w:line="240" w:lineRule="auto"/>
              <w:ind w:firstLine="0" w:firstLineChars="0"/>
              <w:jc w:val="center"/>
              <w:rPr>
                <w:rFonts w:cs="Times New Roman"/>
                <w:kern w:val="0"/>
                <w:sz w:val="20"/>
                <w:szCs w:val="20"/>
              </w:rPr>
            </w:pPr>
            <w:r>
              <w:rPr>
                <w:rFonts w:hint="eastAsia" w:cs="Times New Roman"/>
                <w:kern w:val="0"/>
                <w:sz w:val="20"/>
                <w:szCs w:val="20"/>
              </w:rPr>
              <w:t>一级指标</w:t>
            </w:r>
          </w:p>
        </w:tc>
        <w:tc>
          <w:tcPr>
            <w:tcW w:w="1779" w:type="dxa"/>
            <w:tcBorders>
              <w:top w:val="single" w:color="auto" w:sz="4" w:space="0"/>
              <w:left w:val="nil"/>
              <w:bottom w:val="single" w:color="auto" w:sz="4" w:space="0"/>
              <w:right w:val="single" w:color="auto" w:sz="4" w:space="0"/>
            </w:tcBorders>
            <w:shd w:val="clear" w:color="auto" w:fill="auto"/>
            <w:vAlign w:val="center"/>
          </w:tcPr>
          <w:p w14:paraId="0B612836">
            <w:pPr>
              <w:widowControl/>
              <w:spacing w:line="240" w:lineRule="auto"/>
              <w:ind w:firstLine="0" w:firstLineChars="0"/>
              <w:jc w:val="center"/>
              <w:rPr>
                <w:rFonts w:cs="Times New Roman"/>
                <w:kern w:val="0"/>
                <w:sz w:val="20"/>
                <w:szCs w:val="20"/>
              </w:rPr>
            </w:pPr>
            <w:r>
              <w:rPr>
                <w:rFonts w:hint="eastAsia" w:cs="Times New Roman"/>
                <w:kern w:val="0"/>
                <w:sz w:val="20"/>
                <w:szCs w:val="20"/>
              </w:rPr>
              <w:t>二级指标</w:t>
            </w:r>
          </w:p>
        </w:tc>
        <w:tc>
          <w:tcPr>
            <w:tcW w:w="2040" w:type="dxa"/>
            <w:tcBorders>
              <w:top w:val="single" w:color="auto" w:sz="4" w:space="0"/>
              <w:left w:val="nil"/>
              <w:bottom w:val="single" w:color="auto" w:sz="4" w:space="0"/>
              <w:right w:val="single" w:color="auto" w:sz="4" w:space="0"/>
            </w:tcBorders>
            <w:shd w:val="clear" w:color="auto" w:fill="auto"/>
            <w:vAlign w:val="center"/>
          </w:tcPr>
          <w:p w14:paraId="46BBCDFD">
            <w:pPr>
              <w:widowControl/>
              <w:spacing w:line="240" w:lineRule="auto"/>
              <w:ind w:firstLine="0" w:firstLineChars="0"/>
              <w:jc w:val="center"/>
              <w:rPr>
                <w:rFonts w:cs="Times New Roman"/>
                <w:kern w:val="0"/>
                <w:sz w:val="20"/>
                <w:szCs w:val="20"/>
              </w:rPr>
            </w:pPr>
            <w:r>
              <w:rPr>
                <w:rFonts w:hint="eastAsia" w:cs="Times New Roman"/>
                <w:kern w:val="0"/>
                <w:sz w:val="20"/>
                <w:szCs w:val="20"/>
              </w:rPr>
              <w:t>三级指标</w:t>
            </w:r>
          </w:p>
        </w:tc>
        <w:tc>
          <w:tcPr>
            <w:tcW w:w="1418" w:type="dxa"/>
            <w:tcBorders>
              <w:top w:val="single" w:color="auto" w:sz="4" w:space="0"/>
              <w:left w:val="nil"/>
              <w:bottom w:val="single" w:color="auto" w:sz="4" w:space="0"/>
              <w:right w:val="single" w:color="auto" w:sz="4" w:space="0"/>
            </w:tcBorders>
            <w:shd w:val="clear" w:color="auto" w:fill="auto"/>
            <w:vAlign w:val="center"/>
          </w:tcPr>
          <w:p w14:paraId="0D50F352">
            <w:pPr>
              <w:widowControl/>
              <w:spacing w:line="240" w:lineRule="auto"/>
              <w:ind w:firstLine="0" w:firstLineChars="0"/>
              <w:jc w:val="center"/>
              <w:rPr>
                <w:rFonts w:cs="Times New Roman"/>
                <w:kern w:val="0"/>
                <w:sz w:val="20"/>
                <w:szCs w:val="20"/>
              </w:rPr>
            </w:pPr>
            <w:r>
              <w:rPr>
                <w:rFonts w:hint="eastAsia" w:cs="Times New Roman"/>
                <w:kern w:val="0"/>
                <w:sz w:val="20"/>
                <w:szCs w:val="20"/>
              </w:rPr>
              <w:t>年初目标值（</w:t>
            </w:r>
            <w:r>
              <w:rPr>
                <w:rFonts w:cs="Times New Roman"/>
                <w:kern w:val="0"/>
                <w:sz w:val="20"/>
                <w:szCs w:val="20"/>
              </w:rPr>
              <w:t>A</w:t>
            </w:r>
            <w:r>
              <w:rPr>
                <w:rFonts w:hint="eastAsia" w:cs="Times New Roman"/>
                <w:kern w:val="0"/>
                <w:sz w:val="20"/>
                <w:szCs w:val="20"/>
              </w:rPr>
              <w:t>）</w:t>
            </w:r>
          </w:p>
        </w:tc>
        <w:tc>
          <w:tcPr>
            <w:tcW w:w="916" w:type="dxa"/>
            <w:tcBorders>
              <w:top w:val="single" w:color="auto" w:sz="4" w:space="0"/>
              <w:left w:val="nil"/>
              <w:bottom w:val="single" w:color="auto" w:sz="4" w:space="0"/>
              <w:right w:val="single" w:color="auto" w:sz="4" w:space="0"/>
            </w:tcBorders>
            <w:shd w:val="clear" w:color="auto" w:fill="auto"/>
            <w:vAlign w:val="center"/>
          </w:tcPr>
          <w:p w14:paraId="54443DCB">
            <w:pPr>
              <w:widowControl/>
              <w:spacing w:line="240" w:lineRule="auto"/>
              <w:ind w:firstLine="0" w:firstLineChars="0"/>
              <w:jc w:val="center"/>
              <w:rPr>
                <w:rFonts w:cs="Times New Roman"/>
                <w:kern w:val="0"/>
                <w:sz w:val="20"/>
                <w:szCs w:val="20"/>
              </w:rPr>
            </w:pPr>
            <w:r>
              <w:rPr>
                <w:rFonts w:hint="eastAsia" w:cs="Times New Roman"/>
                <w:kern w:val="0"/>
                <w:sz w:val="20"/>
                <w:szCs w:val="20"/>
              </w:rPr>
              <w:t>实际完成值（</w:t>
            </w:r>
            <w:r>
              <w:rPr>
                <w:rFonts w:cs="Times New Roman"/>
                <w:kern w:val="0"/>
                <w:sz w:val="20"/>
                <w:szCs w:val="20"/>
              </w:rPr>
              <w:t>B</w:t>
            </w:r>
            <w:r>
              <w:rPr>
                <w:rFonts w:hint="eastAsia" w:cs="Times New Roman"/>
                <w:kern w:val="0"/>
                <w:sz w:val="20"/>
                <w:szCs w:val="20"/>
              </w:rPr>
              <w:t>）</w:t>
            </w:r>
          </w:p>
        </w:tc>
        <w:tc>
          <w:tcPr>
            <w:tcW w:w="1236" w:type="dxa"/>
            <w:tcBorders>
              <w:top w:val="single" w:color="auto" w:sz="4" w:space="0"/>
              <w:left w:val="nil"/>
              <w:bottom w:val="single" w:color="auto" w:sz="4" w:space="0"/>
              <w:right w:val="single" w:color="auto" w:sz="4" w:space="0"/>
            </w:tcBorders>
            <w:shd w:val="clear" w:color="auto" w:fill="auto"/>
            <w:vAlign w:val="center"/>
          </w:tcPr>
          <w:p w14:paraId="2CE1D1E8">
            <w:pPr>
              <w:widowControl/>
              <w:spacing w:line="240" w:lineRule="auto"/>
              <w:ind w:firstLine="0" w:firstLineChars="0"/>
              <w:jc w:val="center"/>
              <w:rPr>
                <w:rFonts w:ascii="Times New Roman" w:hAnsi="Times New Roman" w:eastAsia="等线" w:cs="Times New Roman"/>
                <w:kern w:val="0"/>
                <w:szCs w:val="24"/>
              </w:rPr>
            </w:pPr>
            <w:r>
              <w:rPr>
                <w:rFonts w:hint="eastAsia" w:cs="Times New Roman"/>
                <w:kern w:val="0"/>
                <w:sz w:val="20"/>
                <w:szCs w:val="20"/>
              </w:rPr>
              <w:t>得分</w:t>
            </w:r>
          </w:p>
        </w:tc>
      </w:tr>
      <w:tr w14:paraId="1971A8F4">
        <w:tblPrEx>
          <w:tblCellMar>
            <w:top w:w="0" w:type="dxa"/>
            <w:left w:w="108" w:type="dxa"/>
            <w:bottom w:w="0" w:type="dxa"/>
            <w:right w:w="108" w:type="dxa"/>
          </w:tblCellMar>
        </w:tblPrEx>
        <w:trPr>
          <w:trHeight w:val="474" w:hRule="atLeast"/>
        </w:trPr>
        <w:tc>
          <w:tcPr>
            <w:tcW w:w="11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3E76AF">
            <w:pPr>
              <w:widowControl/>
              <w:spacing w:line="240" w:lineRule="auto"/>
              <w:ind w:firstLine="0" w:firstLineChars="0"/>
              <w:jc w:val="left"/>
              <w:rPr>
                <w:rFonts w:cs="宋体"/>
                <w:kern w:val="0"/>
                <w:sz w:val="20"/>
                <w:szCs w:val="20"/>
              </w:rPr>
            </w:pPr>
            <w:r>
              <w:rPr>
                <w:rFonts w:hint="eastAsia" w:cs="宋体"/>
                <w:kern w:val="0"/>
                <w:sz w:val="20"/>
                <w:szCs w:val="20"/>
              </w:rPr>
              <w:t>产出指标(40分）</w:t>
            </w:r>
          </w:p>
        </w:tc>
        <w:tc>
          <w:tcPr>
            <w:tcW w:w="1779" w:type="dxa"/>
            <w:vMerge w:val="restart"/>
            <w:tcBorders>
              <w:top w:val="nil"/>
              <w:left w:val="single" w:color="auto" w:sz="4" w:space="0"/>
              <w:right w:val="single" w:color="auto" w:sz="4" w:space="0"/>
            </w:tcBorders>
            <w:shd w:val="clear" w:color="auto" w:fill="auto"/>
            <w:vAlign w:val="center"/>
          </w:tcPr>
          <w:p w14:paraId="5D040C66">
            <w:pPr>
              <w:widowControl/>
              <w:spacing w:line="240" w:lineRule="auto"/>
              <w:ind w:firstLine="0" w:firstLineChars="0"/>
              <w:jc w:val="left"/>
              <w:rPr>
                <w:rFonts w:cs="宋体"/>
                <w:kern w:val="0"/>
                <w:sz w:val="20"/>
                <w:szCs w:val="20"/>
              </w:rPr>
            </w:pPr>
            <w:r>
              <w:rPr>
                <w:rFonts w:hint="eastAsia" w:cs="宋体"/>
                <w:kern w:val="0"/>
                <w:sz w:val="20"/>
                <w:szCs w:val="20"/>
              </w:rPr>
              <w:t>数量指标</w:t>
            </w:r>
          </w:p>
        </w:tc>
        <w:tc>
          <w:tcPr>
            <w:tcW w:w="2040" w:type="dxa"/>
            <w:tcBorders>
              <w:top w:val="nil"/>
              <w:left w:val="nil"/>
              <w:bottom w:val="single" w:color="auto" w:sz="4" w:space="0"/>
              <w:right w:val="single" w:color="auto" w:sz="4" w:space="0"/>
            </w:tcBorders>
            <w:shd w:val="clear" w:color="auto" w:fill="auto"/>
            <w:vAlign w:val="center"/>
          </w:tcPr>
          <w:p w14:paraId="459A5C6A">
            <w:pPr>
              <w:widowControl/>
              <w:spacing w:line="240" w:lineRule="auto"/>
              <w:ind w:firstLine="0" w:firstLineChars="0"/>
              <w:rPr>
                <w:rFonts w:cs="宋体"/>
                <w:kern w:val="0"/>
                <w:sz w:val="20"/>
                <w:szCs w:val="20"/>
              </w:rPr>
            </w:pPr>
            <w:r>
              <w:rPr>
                <w:rFonts w:hint="eastAsia" w:cs="宋体"/>
                <w:kern w:val="0"/>
                <w:sz w:val="20"/>
                <w:szCs w:val="20"/>
              </w:rPr>
              <w:t>进入老旧社区并为其提供排水管网疏通服务的社区数</w:t>
            </w:r>
          </w:p>
        </w:tc>
        <w:tc>
          <w:tcPr>
            <w:tcW w:w="1418" w:type="dxa"/>
            <w:tcBorders>
              <w:top w:val="nil"/>
              <w:left w:val="nil"/>
              <w:bottom w:val="single" w:color="auto" w:sz="4" w:space="0"/>
              <w:right w:val="single" w:color="auto" w:sz="4" w:space="0"/>
            </w:tcBorders>
            <w:shd w:val="clear" w:color="auto" w:fill="auto"/>
            <w:vAlign w:val="center"/>
          </w:tcPr>
          <w:p w14:paraId="2C6073C2">
            <w:pPr>
              <w:widowControl/>
              <w:spacing w:line="240" w:lineRule="auto"/>
              <w:ind w:firstLine="0" w:firstLineChars="0"/>
              <w:jc w:val="center"/>
              <w:rPr>
                <w:rFonts w:cs="宋体"/>
                <w:kern w:val="0"/>
                <w:sz w:val="20"/>
                <w:szCs w:val="20"/>
              </w:rPr>
            </w:pPr>
            <w:r>
              <w:rPr>
                <w:rFonts w:hint="eastAsia" w:cs="宋体"/>
                <w:kern w:val="0"/>
                <w:sz w:val="20"/>
                <w:szCs w:val="20"/>
              </w:rPr>
              <w:t>≥70个</w:t>
            </w:r>
          </w:p>
        </w:tc>
        <w:tc>
          <w:tcPr>
            <w:tcW w:w="916" w:type="dxa"/>
            <w:tcBorders>
              <w:top w:val="nil"/>
              <w:left w:val="nil"/>
              <w:bottom w:val="single" w:color="auto" w:sz="4" w:space="0"/>
              <w:right w:val="single" w:color="auto" w:sz="4" w:space="0"/>
            </w:tcBorders>
            <w:shd w:val="clear" w:color="auto" w:fill="auto"/>
            <w:vAlign w:val="center"/>
          </w:tcPr>
          <w:p w14:paraId="43664A8D">
            <w:pPr>
              <w:widowControl/>
              <w:spacing w:line="240" w:lineRule="auto"/>
              <w:ind w:firstLine="0" w:firstLineChars="0"/>
              <w:jc w:val="center"/>
              <w:rPr>
                <w:rFonts w:cs="宋体"/>
                <w:kern w:val="0"/>
                <w:sz w:val="20"/>
                <w:szCs w:val="20"/>
              </w:rPr>
            </w:pPr>
            <w:r>
              <w:rPr>
                <w:rFonts w:hint="eastAsia" w:cs="宋体"/>
                <w:kern w:val="0"/>
                <w:sz w:val="20"/>
                <w:szCs w:val="20"/>
              </w:rPr>
              <w:t>99个</w:t>
            </w:r>
          </w:p>
        </w:tc>
        <w:tc>
          <w:tcPr>
            <w:tcW w:w="1236" w:type="dxa"/>
            <w:tcBorders>
              <w:top w:val="nil"/>
              <w:left w:val="nil"/>
              <w:bottom w:val="single" w:color="auto" w:sz="4" w:space="0"/>
              <w:right w:val="single" w:color="auto" w:sz="4" w:space="0"/>
            </w:tcBorders>
            <w:shd w:val="clear" w:color="auto" w:fill="auto"/>
            <w:vAlign w:val="center"/>
          </w:tcPr>
          <w:p w14:paraId="2530F9FC">
            <w:pPr>
              <w:widowControl/>
              <w:spacing w:line="240" w:lineRule="auto"/>
              <w:ind w:firstLine="0" w:firstLineChars="0"/>
              <w:jc w:val="center"/>
              <w:rPr>
                <w:rFonts w:cs="宋体"/>
                <w:kern w:val="0"/>
                <w:sz w:val="20"/>
                <w:szCs w:val="20"/>
              </w:rPr>
            </w:pPr>
            <w:r>
              <w:rPr>
                <w:rFonts w:cs="宋体"/>
                <w:kern w:val="0"/>
                <w:sz w:val="20"/>
                <w:szCs w:val="20"/>
              </w:rPr>
              <w:t>3</w:t>
            </w:r>
          </w:p>
        </w:tc>
      </w:tr>
      <w:tr w14:paraId="77189FA7">
        <w:tblPrEx>
          <w:tblCellMar>
            <w:top w:w="0" w:type="dxa"/>
            <w:left w:w="108" w:type="dxa"/>
            <w:bottom w:w="0" w:type="dxa"/>
            <w:right w:w="108" w:type="dxa"/>
          </w:tblCellMar>
        </w:tblPrEx>
        <w:trPr>
          <w:trHeight w:val="412"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DA1DD3">
            <w:pPr>
              <w:widowControl/>
              <w:spacing w:line="240" w:lineRule="auto"/>
              <w:ind w:firstLine="0" w:firstLineChars="0"/>
              <w:jc w:val="left"/>
              <w:rPr>
                <w:rFonts w:cs="宋体"/>
                <w:kern w:val="0"/>
                <w:sz w:val="20"/>
                <w:szCs w:val="20"/>
              </w:rPr>
            </w:pPr>
          </w:p>
        </w:tc>
        <w:tc>
          <w:tcPr>
            <w:tcW w:w="1779" w:type="dxa"/>
            <w:vMerge w:val="continue"/>
            <w:tcBorders>
              <w:left w:val="single" w:color="auto" w:sz="4" w:space="0"/>
              <w:right w:val="single" w:color="auto" w:sz="4" w:space="0"/>
            </w:tcBorders>
            <w:vAlign w:val="center"/>
          </w:tcPr>
          <w:p w14:paraId="7F5B2E4B">
            <w:pPr>
              <w:widowControl/>
              <w:spacing w:line="240" w:lineRule="auto"/>
              <w:ind w:firstLine="0" w:firstLineChars="0"/>
              <w:jc w:val="left"/>
              <w:rPr>
                <w:rFonts w:cs="宋体"/>
                <w:kern w:val="0"/>
                <w:sz w:val="20"/>
                <w:szCs w:val="20"/>
              </w:rPr>
            </w:pPr>
          </w:p>
        </w:tc>
        <w:tc>
          <w:tcPr>
            <w:tcW w:w="2040" w:type="dxa"/>
            <w:tcBorders>
              <w:top w:val="nil"/>
              <w:left w:val="nil"/>
              <w:bottom w:val="single" w:color="auto" w:sz="4" w:space="0"/>
              <w:right w:val="single" w:color="auto" w:sz="4" w:space="0"/>
            </w:tcBorders>
            <w:shd w:val="clear" w:color="auto" w:fill="auto"/>
            <w:vAlign w:val="center"/>
          </w:tcPr>
          <w:p w14:paraId="64B25A87">
            <w:pPr>
              <w:widowControl/>
              <w:spacing w:line="240" w:lineRule="auto"/>
              <w:ind w:firstLine="0" w:firstLineChars="0"/>
              <w:rPr>
                <w:rFonts w:cs="宋体"/>
                <w:kern w:val="0"/>
                <w:sz w:val="20"/>
                <w:szCs w:val="20"/>
              </w:rPr>
            </w:pPr>
            <w:r>
              <w:rPr>
                <w:rFonts w:hint="eastAsia" w:cs="宋体"/>
                <w:kern w:val="0"/>
                <w:sz w:val="20"/>
                <w:szCs w:val="20"/>
              </w:rPr>
              <w:t>全区渍水48小时内处理率</w:t>
            </w:r>
          </w:p>
        </w:tc>
        <w:tc>
          <w:tcPr>
            <w:tcW w:w="1418" w:type="dxa"/>
            <w:tcBorders>
              <w:top w:val="nil"/>
              <w:left w:val="nil"/>
              <w:bottom w:val="single" w:color="auto" w:sz="4" w:space="0"/>
              <w:right w:val="single" w:color="auto" w:sz="4" w:space="0"/>
            </w:tcBorders>
            <w:shd w:val="clear" w:color="auto" w:fill="auto"/>
            <w:vAlign w:val="center"/>
          </w:tcPr>
          <w:p w14:paraId="4995DDD7">
            <w:pPr>
              <w:widowControl/>
              <w:spacing w:line="240" w:lineRule="auto"/>
              <w:ind w:firstLine="0" w:firstLineChars="0"/>
              <w:jc w:val="center"/>
              <w:rPr>
                <w:rFonts w:cs="宋体"/>
                <w:kern w:val="0"/>
                <w:sz w:val="20"/>
                <w:szCs w:val="20"/>
              </w:rPr>
            </w:pPr>
            <w:r>
              <w:rPr>
                <w:rFonts w:cs="宋体"/>
                <w:kern w:val="0"/>
                <w:sz w:val="20"/>
                <w:szCs w:val="20"/>
              </w:rPr>
              <w:t>100%</w:t>
            </w:r>
          </w:p>
        </w:tc>
        <w:tc>
          <w:tcPr>
            <w:tcW w:w="916" w:type="dxa"/>
            <w:tcBorders>
              <w:top w:val="nil"/>
              <w:left w:val="nil"/>
              <w:bottom w:val="single" w:color="auto" w:sz="4" w:space="0"/>
              <w:right w:val="single" w:color="auto" w:sz="4" w:space="0"/>
            </w:tcBorders>
            <w:shd w:val="clear" w:color="auto" w:fill="auto"/>
            <w:vAlign w:val="center"/>
          </w:tcPr>
          <w:p w14:paraId="40B26265">
            <w:pPr>
              <w:widowControl/>
              <w:spacing w:line="240" w:lineRule="auto"/>
              <w:ind w:firstLine="0" w:firstLineChars="0"/>
              <w:jc w:val="center"/>
              <w:rPr>
                <w:rFonts w:cs="宋体"/>
                <w:kern w:val="0"/>
                <w:sz w:val="20"/>
                <w:szCs w:val="20"/>
              </w:rPr>
            </w:pPr>
            <w:r>
              <w:rPr>
                <w:rFonts w:cs="宋体"/>
                <w:kern w:val="0"/>
                <w:sz w:val="20"/>
                <w:szCs w:val="20"/>
              </w:rPr>
              <w:t>100%</w:t>
            </w:r>
          </w:p>
        </w:tc>
        <w:tc>
          <w:tcPr>
            <w:tcW w:w="1236" w:type="dxa"/>
            <w:tcBorders>
              <w:top w:val="nil"/>
              <w:left w:val="nil"/>
              <w:bottom w:val="single" w:color="auto" w:sz="4" w:space="0"/>
              <w:right w:val="single" w:color="auto" w:sz="4" w:space="0"/>
            </w:tcBorders>
            <w:shd w:val="clear" w:color="auto" w:fill="auto"/>
            <w:vAlign w:val="center"/>
          </w:tcPr>
          <w:p w14:paraId="03B960E9">
            <w:pPr>
              <w:widowControl/>
              <w:spacing w:line="240" w:lineRule="auto"/>
              <w:ind w:firstLine="0" w:firstLineChars="0"/>
              <w:jc w:val="center"/>
              <w:rPr>
                <w:rFonts w:cs="宋体"/>
                <w:kern w:val="0"/>
                <w:sz w:val="20"/>
                <w:szCs w:val="20"/>
              </w:rPr>
            </w:pPr>
            <w:r>
              <w:rPr>
                <w:rFonts w:cs="宋体"/>
                <w:kern w:val="0"/>
                <w:sz w:val="20"/>
                <w:szCs w:val="20"/>
              </w:rPr>
              <w:t>3</w:t>
            </w:r>
          </w:p>
        </w:tc>
      </w:tr>
      <w:tr w14:paraId="4A0054C6">
        <w:tblPrEx>
          <w:tblCellMar>
            <w:top w:w="0" w:type="dxa"/>
            <w:left w:w="108" w:type="dxa"/>
            <w:bottom w:w="0" w:type="dxa"/>
            <w:right w:w="108" w:type="dxa"/>
          </w:tblCellMar>
        </w:tblPrEx>
        <w:trPr>
          <w:trHeight w:val="49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2AE5F5">
            <w:pPr>
              <w:widowControl/>
              <w:spacing w:line="240" w:lineRule="auto"/>
              <w:ind w:firstLine="0" w:firstLineChars="0"/>
              <w:jc w:val="left"/>
              <w:rPr>
                <w:rFonts w:cs="宋体"/>
                <w:kern w:val="0"/>
                <w:sz w:val="20"/>
                <w:szCs w:val="20"/>
              </w:rPr>
            </w:pPr>
          </w:p>
        </w:tc>
        <w:tc>
          <w:tcPr>
            <w:tcW w:w="1779" w:type="dxa"/>
            <w:vMerge w:val="continue"/>
            <w:tcBorders>
              <w:left w:val="single" w:color="auto" w:sz="4" w:space="0"/>
              <w:right w:val="single" w:color="auto" w:sz="4" w:space="0"/>
            </w:tcBorders>
            <w:vAlign w:val="center"/>
          </w:tcPr>
          <w:p w14:paraId="7A0DAA43">
            <w:pPr>
              <w:widowControl/>
              <w:spacing w:line="240" w:lineRule="auto"/>
              <w:ind w:firstLine="0" w:firstLineChars="0"/>
              <w:jc w:val="left"/>
              <w:rPr>
                <w:rFonts w:cs="宋体"/>
                <w:kern w:val="0"/>
                <w:sz w:val="20"/>
                <w:szCs w:val="20"/>
              </w:rPr>
            </w:pPr>
          </w:p>
        </w:tc>
        <w:tc>
          <w:tcPr>
            <w:tcW w:w="2040" w:type="dxa"/>
            <w:tcBorders>
              <w:top w:val="nil"/>
              <w:left w:val="nil"/>
              <w:bottom w:val="single" w:color="auto" w:sz="4" w:space="0"/>
              <w:right w:val="single" w:color="auto" w:sz="4" w:space="0"/>
            </w:tcBorders>
            <w:shd w:val="clear" w:color="auto" w:fill="auto"/>
            <w:vAlign w:val="center"/>
          </w:tcPr>
          <w:p w14:paraId="346AA238">
            <w:pPr>
              <w:widowControl/>
              <w:spacing w:line="240" w:lineRule="auto"/>
              <w:ind w:firstLine="0" w:firstLineChars="0"/>
              <w:rPr>
                <w:rFonts w:cs="宋体"/>
                <w:kern w:val="0"/>
                <w:sz w:val="20"/>
                <w:szCs w:val="20"/>
              </w:rPr>
            </w:pPr>
            <w:r>
              <w:rPr>
                <w:rFonts w:hint="eastAsia" w:cs="宋体"/>
                <w:kern w:val="0"/>
                <w:sz w:val="20"/>
                <w:szCs w:val="20"/>
              </w:rPr>
              <w:t>进老旧社区排水设施维护次数</w:t>
            </w:r>
          </w:p>
        </w:tc>
        <w:tc>
          <w:tcPr>
            <w:tcW w:w="1418" w:type="dxa"/>
            <w:tcBorders>
              <w:top w:val="nil"/>
              <w:left w:val="nil"/>
              <w:bottom w:val="single" w:color="auto" w:sz="4" w:space="0"/>
              <w:right w:val="single" w:color="auto" w:sz="4" w:space="0"/>
            </w:tcBorders>
            <w:shd w:val="clear" w:color="auto" w:fill="auto"/>
            <w:vAlign w:val="center"/>
          </w:tcPr>
          <w:p w14:paraId="06542816">
            <w:pPr>
              <w:widowControl/>
              <w:spacing w:line="240" w:lineRule="auto"/>
              <w:ind w:firstLine="0" w:firstLineChars="0"/>
              <w:jc w:val="center"/>
              <w:rPr>
                <w:rFonts w:cs="宋体"/>
                <w:kern w:val="0"/>
                <w:sz w:val="20"/>
                <w:szCs w:val="20"/>
              </w:rPr>
            </w:pPr>
            <w:r>
              <w:rPr>
                <w:rFonts w:hint="eastAsia" w:cs="宋体"/>
                <w:kern w:val="0"/>
                <w:sz w:val="20"/>
                <w:szCs w:val="20"/>
              </w:rPr>
              <w:t>≥100次</w:t>
            </w:r>
          </w:p>
        </w:tc>
        <w:tc>
          <w:tcPr>
            <w:tcW w:w="916" w:type="dxa"/>
            <w:tcBorders>
              <w:top w:val="nil"/>
              <w:left w:val="nil"/>
              <w:bottom w:val="single" w:color="auto" w:sz="4" w:space="0"/>
              <w:right w:val="single" w:color="auto" w:sz="4" w:space="0"/>
            </w:tcBorders>
            <w:shd w:val="clear" w:color="auto" w:fill="auto"/>
            <w:vAlign w:val="center"/>
          </w:tcPr>
          <w:p w14:paraId="29751455">
            <w:pPr>
              <w:widowControl/>
              <w:spacing w:line="240" w:lineRule="auto"/>
              <w:ind w:firstLine="0" w:firstLineChars="0"/>
              <w:jc w:val="center"/>
              <w:rPr>
                <w:rFonts w:cs="宋体"/>
                <w:kern w:val="0"/>
                <w:sz w:val="20"/>
                <w:szCs w:val="20"/>
              </w:rPr>
            </w:pPr>
            <w:r>
              <w:rPr>
                <w:rFonts w:hint="eastAsia" w:cs="宋体"/>
                <w:kern w:val="0"/>
                <w:sz w:val="20"/>
                <w:szCs w:val="20"/>
              </w:rPr>
              <w:t>130次</w:t>
            </w:r>
          </w:p>
        </w:tc>
        <w:tc>
          <w:tcPr>
            <w:tcW w:w="1236" w:type="dxa"/>
            <w:tcBorders>
              <w:top w:val="nil"/>
              <w:left w:val="nil"/>
              <w:bottom w:val="single" w:color="auto" w:sz="4" w:space="0"/>
              <w:right w:val="single" w:color="auto" w:sz="4" w:space="0"/>
            </w:tcBorders>
            <w:shd w:val="clear" w:color="auto" w:fill="auto"/>
            <w:vAlign w:val="center"/>
          </w:tcPr>
          <w:p w14:paraId="221479A7">
            <w:pPr>
              <w:widowControl/>
              <w:spacing w:line="240" w:lineRule="auto"/>
              <w:ind w:firstLine="0" w:firstLineChars="0"/>
              <w:jc w:val="center"/>
              <w:rPr>
                <w:rFonts w:cs="宋体"/>
                <w:kern w:val="0"/>
                <w:sz w:val="20"/>
                <w:szCs w:val="20"/>
              </w:rPr>
            </w:pPr>
            <w:r>
              <w:rPr>
                <w:rFonts w:cs="宋体"/>
                <w:kern w:val="0"/>
                <w:sz w:val="20"/>
                <w:szCs w:val="20"/>
              </w:rPr>
              <w:t>3</w:t>
            </w:r>
          </w:p>
        </w:tc>
      </w:tr>
      <w:tr w14:paraId="0CC7E13B">
        <w:tblPrEx>
          <w:tblCellMar>
            <w:top w:w="0" w:type="dxa"/>
            <w:left w:w="108" w:type="dxa"/>
            <w:bottom w:w="0" w:type="dxa"/>
            <w:right w:w="108" w:type="dxa"/>
          </w:tblCellMar>
        </w:tblPrEx>
        <w:trPr>
          <w:trHeight w:val="431"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C4883E">
            <w:pPr>
              <w:widowControl/>
              <w:spacing w:line="240" w:lineRule="auto"/>
              <w:ind w:firstLine="0" w:firstLineChars="0"/>
              <w:jc w:val="left"/>
              <w:rPr>
                <w:rFonts w:cs="宋体"/>
                <w:kern w:val="0"/>
                <w:sz w:val="20"/>
                <w:szCs w:val="20"/>
              </w:rPr>
            </w:pPr>
          </w:p>
        </w:tc>
        <w:tc>
          <w:tcPr>
            <w:tcW w:w="1779" w:type="dxa"/>
            <w:vMerge w:val="continue"/>
            <w:tcBorders>
              <w:left w:val="single" w:color="auto" w:sz="4" w:space="0"/>
              <w:right w:val="single" w:color="auto" w:sz="4" w:space="0"/>
            </w:tcBorders>
            <w:shd w:val="clear" w:color="auto" w:fill="auto"/>
            <w:vAlign w:val="center"/>
          </w:tcPr>
          <w:p w14:paraId="65AE47CA">
            <w:pPr>
              <w:widowControl/>
              <w:spacing w:line="240" w:lineRule="auto"/>
              <w:ind w:firstLine="0" w:firstLineChars="0"/>
              <w:jc w:val="left"/>
              <w:rPr>
                <w:rFonts w:cs="宋体"/>
                <w:kern w:val="0"/>
                <w:sz w:val="20"/>
                <w:szCs w:val="20"/>
              </w:rPr>
            </w:pPr>
          </w:p>
        </w:tc>
        <w:tc>
          <w:tcPr>
            <w:tcW w:w="2040" w:type="dxa"/>
            <w:tcBorders>
              <w:top w:val="nil"/>
              <w:left w:val="nil"/>
              <w:bottom w:val="single" w:color="auto" w:sz="4" w:space="0"/>
              <w:right w:val="single" w:color="auto" w:sz="4" w:space="0"/>
            </w:tcBorders>
            <w:shd w:val="clear" w:color="auto" w:fill="auto"/>
            <w:vAlign w:val="center"/>
          </w:tcPr>
          <w:p w14:paraId="3CE2784A">
            <w:pPr>
              <w:widowControl/>
              <w:spacing w:line="240" w:lineRule="auto"/>
              <w:ind w:firstLine="0" w:firstLineChars="0"/>
              <w:rPr>
                <w:rFonts w:cs="宋体"/>
                <w:kern w:val="0"/>
                <w:sz w:val="20"/>
                <w:szCs w:val="20"/>
              </w:rPr>
            </w:pPr>
            <w:r>
              <w:rPr>
                <w:rFonts w:hint="eastAsia" w:cs="宋体"/>
                <w:kern w:val="0"/>
                <w:sz w:val="20"/>
                <w:szCs w:val="20"/>
              </w:rPr>
              <w:t>公共排水设施维护疏捞排水井井孔数</w:t>
            </w:r>
          </w:p>
        </w:tc>
        <w:tc>
          <w:tcPr>
            <w:tcW w:w="1418" w:type="dxa"/>
            <w:tcBorders>
              <w:top w:val="nil"/>
              <w:left w:val="nil"/>
              <w:bottom w:val="single" w:color="auto" w:sz="4" w:space="0"/>
              <w:right w:val="single" w:color="auto" w:sz="4" w:space="0"/>
            </w:tcBorders>
            <w:shd w:val="clear" w:color="auto" w:fill="auto"/>
            <w:vAlign w:val="center"/>
          </w:tcPr>
          <w:p w14:paraId="15DB8F0A">
            <w:pPr>
              <w:widowControl/>
              <w:spacing w:line="240" w:lineRule="auto"/>
              <w:ind w:firstLine="0" w:firstLineChars="0"/>
              <w:jc w:val="center"/>
              <w:rPr>
                <w:rFonts w:cs="宋体"/>
                <w:kern w:val="0"/>
                <w:sz w:val="20"/>
                <w:szCs w:val="20"/>
              </w:rPr>
            </w:pPr>
            <w:r>
              <w:rPr>
                <w:rFonts w:hint="eastAsia" w:cs="宋体"/>
                <w:kern w:val="0"/>
                <w:sz w:val="20"/>
                <w:szCs w:val="20"/>
              </w:rPr>
              <w:t>≥65000座</w:t>
            </w:r>
          </w:p>
        </w:tc>
        <w:tc>
          <w:tcPr>
            <w:tcW w:w="916" w:type="dxa"/>
            <w:tcBorders>
              <w:top w:val="nil"/>
              <w:left w:val="nil"/>
              <w:bottom w:val="single" w:color="auto" w:sz="4" w:space="0"/>
              <w:right w:val="single" w:color="auto" w:sz="4" w:space="0"/>
            </w:tcBorders>
            <w:shd w:val="clear" w:color="auto" w:fill="auto"/>
            <w:vAlign w:val="center"/>
          </w:tcPr>
          <w:p w14:paraId="4B7EC2D2">
            <w:pPr>
              <w:widowControl/>
              <w:spacing w:line="240" w:lineRule="auto"/>
              <w:ind w:firstLine="0" w:firstLineChars="0"/>
              <w:jc w:val="center"/>
              <w:rPr>
                <w:rFonts w:cs="宋体"/>
                <w:kern w:val="0"/>
                <w:sz w:val="20"/>
                <w:szCs w:val="20"/>
              </w:rPr>
            </w:pPr>
            <w:r>
              <w:rPr>
                <w:rFonts w:hint="eastAsia" w:cs="宋体"/>
                <w:kern w:val="0"/>
                <w:sz w:val="20"/>
                <w:szCs w:val="20"/>
              </w:rPr>
              <w:t>68384座</w:t>
            </w:r>
          </w:p>
        </w:tc>
        <w:tc>
          <w:tcPr>
            <w:tcW w:w="1236" w:type="dxa"/>
            <w:tcBorders>
              <w:top w:val="nil"/>
              <w:left w:val="nil"/>
              <w:bottom w:val="single" w:color="auto" w:sz="4" w:space="0"/>
              <w:right w:val="single" w:color="auto" w:sz="4" w:space="0"/>
            </w:tcBorders>
            <w:shd w:val="clear" w:color="auto" w:fill="auto"/>
            <w:vAlign w:val="center"/>
          </w:tcPr>
          <w:p w14:paraId="1309E903">
            <w:pPr>
              <w:widowControl/>
              <w:spacing w:line="240" w:lineRule="auto"/>
              <w:ind w:firstLine="0" w:firstLineChars="0"/>
              <w:jc w:val="center"/>
              <w:rPr>
                <w:rFonts w:cs="宋体"/>
                <w:kern w:val="0"/>
                <w:sz w:val="20"/>
                <w:szCs w:val="20"/>
              </w:rPr>
            </w:pPr>
            <w:r>
              <w:rPr>
                <w:rFonts w:cs="宋体"/>
                <w:kern w:val="0"/>
                <w:sz w:val="20"/>
                <w:szCs w:val="20"/>
              </w:rPr>
              <w:t>3</w:t>
            </w:r>
          </w:p>
        </w:tc>
      </w:tr>
      <w:tr w14:paraId="40A4C5F7">
        <w:tblPrEx>
          <w:tblCellMar>
            <w:top w:w="0" w:type="dxa"/>
            <w:left w:w="108" w:type="dxa"/>
            <w:bottom w:w="0" w:type="dxa"/>
            <w:right w:w="108" w:type="dxa"/>
          </w:tblCellMar>
        </w:tblPrEx>
        <w:trPr>
          <w:trHeight w:val="439"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53E97B">
            <w:pPr>
              <w:widowControl/>
              <w:spacing w:line="240" w:lineRule="auto"/>
              <w:ind w:firstLine="0" w:firstLineChars="0"/>
              <w:jc w:val="left"/>
              <w:rPr>
                <w:rFonts w:cs="宋体"/>
                <w:kern w:val="0"/>
                <w:sz w:val="20"/>
                <w:szCs w:val="20"/>
              </w:rPr>
            </w:pPr>
          </w:p>
        </w:tc>
        <w:tc>
          <w:tcPr>
            <w:tcW w:w="1779" w:type="dxa"/>
            <w:vMerge w:val="continue"/>
            <w:tcBorders>
              <w:left w:val="single" w:color="auto" w:sz="4" w:space="0"/>
              <w:right w:val="single" w:color="auto" w:sz="4" w:space="0"/>
            </w:tcBorders>
            <w:shd w:val="clear" w:color="auto" w:fill="auto"/>
            <w:vAlign w:val="center"/>
          </w:tcPr>
          <w:p w14:paraId="4E6395AD">
            <w:pPr>
              <w:widowControl/>
              <w:spacing w:line="240" w:lineRule="auto"/>
              <w:ind w:firstLine="0" w:firstLineChars="0"/>
              <w:jc w:val="left"/>
              <w:rPr>
                <w:rFonts w:cs="宋体"/>
                <w:kern w:val="0"/>
                <w:sz w:val="20"/>
                <w:szCs w:val="20"/>
              </w:rPr>
            </w:pPr>
          </w:p>
        </w:tc>
        <w:tc>
          <w:tcPr>
            <w:tcW w:w="2040" w:type="dxa"/>
            <w:tcBorders>
              <w:top w:val="nil"/>
              <w:left w:val="nil"/>
              <w:bottom w:val="single" w:color="auto" w:sz="4" w:space="0"/>
              <w:right w:val="single" w:color="auto" w:sz="4" w:space="0"/>
            </w:tcBorders>
            <w:shd w:val="clear" w:color="auto" w:fill="auto"/>
            <w:vAlign w:val="center"/>
          </w:tcPr>
          <w:p w14:paraId="30E2DF87">
            <w:pPr>
              <w:widowControl/>
              <w:spacing w:line="240" w:lineRule="auto"/>
              <w:ind w:firstLine="0" w:firstLineChars="0"/>
              <w:rPr>
                <w:rFonts w:cs="宋体"/>
                <w:kern w:val="0"/>
                <w:sz w:val="20"/>
                <w:szCs w:val="20"/>
              </w:rPr>
            </w:pPr>
            <w:r>
              <w:rPr>
                <w:rFonts w:hint="eastAsia" w:cs="宋体"/>
                <w:kern w:val="0"/>
                <w:sz w:val="20"/>
                <w:szCs w:val="20"/>
              </w:rPr>
              <w:t>简报出具期数</w:t>
            </w:r>
          </w:p>
        </w:tc>
        <w:tc>
          <w:tcPr>
            <w:tcW w:w="1418" w:type="dxa"/>
            <w:tcBorders>
              <w:top w:val="nil"/>
              <w:left w:val="nil"/>
              <w:bottom w:val="single" w:color="auto" w:sz="4" w:space="0"/>
              <w:right w:val="single" w:color="auto" w:sz="4" w:space="0"/>
            </w:tcBorders>
            <w:shd w:val="clear" w:color="auto" w:fill="auto"/>
            <w:vAlign w:val="center"/>
          </w:tcPr>
          <w:p w14:paraId="3A6F570D">
            <w:pPr>
              <w:widowControl/>
              <w:spacing w:line="240" w:lineRule="auto"/>
              <w:ind w:firstLine="0" w:firstLineChars="0"/>
              <w:jc w:val="center"/>
              <w:rPr>
                <w:rFonts w:cs="宋体"/>
                <w:kern w:val="0"/>
                <w:sz w:val="20"/>
                <w:szCs w:val="20"/>
              </w:rPr>
            </w:pPr>
            <w:r>
              <w:rPr>
                <w:rFonts w:hint="eastAsia" w:cs="宋体"/>
                <w:kern w:val="0"/>
                <w:sz w:val="20"/>
                <w:szCs w:val="20"/>
              </w:rPr>
              <w:t>≥40期</w:t>
            </w:r>
          </w:p>
        </w:tc>
        <w:tc>
          <w:tcPr>
            <w:tcW w:w="916" w:type="dxa"/>
            <w:tcBorders>
              <w:top w:val="nil"/>
              <w:left w:val="nil"/>
              <w:bottom w:val="single" w:color="auto" w:sz="4" w:space="0"/>
              <w:right w:val="single" w:color="auto" w:sz="4" w:space="0"/>
            </w:tcBorders>
            <w:shd w:val="clear" w:color="auto" w:fill="auto"/>
            <w:vAlign w:val="center"/>
          </w:tcPr>
          <w:p w14:paraId="187DFE01">
            <w:pPr>
              <w:widowControl/>
              <w:spacing w:line="240" w:lineRule="auto"/>
              <w:ind w:firstLine="0" w:firstLineChars="0"/>
              <w:jc w:val="center"/>
              <w:rPr>
                <w:rFonts w:cs="宋体"/>
                <w:kern w:val="0"/>
                <w:sz w:val="20"/>
                <w:szCs w:val="20"/>
              </w:rPr>
            </w:pPr>
            <w:r>
              <w:rPr>
                <w:rFonts w:hint="eastAsia" w:cs="宋体"/>
                <w:kern w:val="0"/>
                <w:sz w:val="20"/>
                <w:szCs w:val="20"/>
              </w:rPr>
              <w:t>44期</w:t>
            </w:r>
          </w:p>
        </w:tc>
        <w:tc>
          <w:tcPr>
            <w:tcW w:w="1236" w:type="dxa"/>
            <w:tcBorders>
              <w:top w:val="nil"/>
              <w:left w:val="nil"/>
              <w:bottom w:val="single" w:color="auto" w:sz="4" w:space="0"/>
              <w:right w:val="single" w:color="auto" w:sz="4" w:space="0"/>
            </w:tcBorders>
            <w:shd w:val="clear" w:color="auto" w:fill="auto"/>
            <w:vAlign w:val="center"/>
          </w:tcPr>
          <w:p w14:paraId="68B96B50">
            <w:pPr>
              <w:widowControl/>
              <w:spacing w:line="240" w:lineRule="auto"/>
              <w:ind w:firstLine="0" w:firstLineChars="0"/>
              <w:jc w:val="center"/>
              <w:rPr>
                <w:rFonts w:cs="宋体"/>
                <w:kern w:val="0"/>
                <w:sz w:val="20"/>
                <w:szCs w:val="20"/>
              </w:rPr>
            </w:pPr>
            <w:r>
              <w:rPr>
                <w:rFonts w:cs="宋体"/>
                <w:kern w:val="0"/>
                <w:sz w:val="20"/>
                <w:szCs w:val="20"/>
              </w:rPr>
              <w:t>2</w:t>
            </w:r>
          </w:p>
        </w:tc>
      </w:tr>
      <w:tr w14:paraId="7DFEB67D">
        <w:tblPrEx>
          <w:tblCellMar>
            <w:top w:w="0" w:type="dxa"/>
            <w:left w:w="108" w:type="dxa"/>
            <w:bottom w:w="0" w:type="dxa"/>
            <w:right w:w="108" w:type="dxa"/>
          </w:tblCellMar>
        </w:tblPrEx>
        <w:trPr>
          <w:trHeight w:val="413"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B7074D">
            <w:pPr>
              <w:widowControl/>
              <w:spacing w:line="240" w:lineRule="auto"/>
              <w:ind w:firstLine="0" w:firstLineChars="0"/>
              <w:jc w:val="left"/>
              <w:rPr>
                <w:rFonts w:cs="宋体"/>
                <w:kern w:val="0"/>
                <w:sz w:val="20"/>
                <w:szCs w:val="20"/>
              </w:rPr>
            </w:pPr>
          </w:p>
        </w:tc>
        <w:tc>
          <w:tcPr>
            <w:tcW w:w="1779" w:type="dxa"/>
            <w:vMerge w:val="continue"/>
            <w:tcBorders>
              <w:left w:val="single" w:color="auto" w:sz="4" w:space="0"/>
              <w:right w:val="single" w:color="auto" w:sz="4" w:space="0"/>
            </w:tcBorders>
            <w:shd w:val="clear" w:color="auto" w:fill="auto"/>
            <w:vAlign w:val="center"/>
          </w:tcPr>
          <w:p w14:paraId="0B3154AA">
            <w:pPr>
              <w:widowControl/>
              <w:spacing w:line="240" w:lineRule="auto"/>
              <w:ind w:firstLine="0" w:firstLineChars="0"/>
              <w:jc w:val="left"/>
              <w:rPr>
                <w:rFonts w:cs="宋体"/>
                <w:kern w:val="0"/>
                <w:sz w:val="20"/>
                <w:szCs w:val="20"/>
              </w:rPr>
            </w:pPr>
          </w:p>
        </w:tc>
        <w:tc>
          <w:tcPr>
            <w:tcW w:w="2040" w:type="dxa"/>
            <w:tcBorders>
              <w:top w:val="nil"/>
              <w:left w:val="nil"/>
              <w:bottom w:val="single" w:color="auto" w:sz="4" w:space="0"/>
              <w:right w:val="single" w:color="auto" w:sz="4" w:space="0"/>
            </w:tcBorders>
            <w:shd w:val="clear" w:color="auto" w:fill="auto"/>
            <w:vAlign w:val="center"/>
          </w:tcPr>
          <w:p w14:paraId="4E7ADDA6">
            <w:pPr>
              <w:widowControl/>
              <w:spacing w:line="240" w:lineRule="auto"/>
              <w:ind w:firstLine="0" w:firstLineChars="0"/>
              <w:rPr>
                <w:rFonts w:cs="宋体"/>
                <w:kern w:val="0"/>
                <w:sz w:val="20"/>
                <w:szCs w:val="20"/>
              </w:rPr>
            </w:pPr>
            <w:r>
              <w:rPr>
                <w:rFonts w:hint="eastAsia" w:cs="宋体"/>
                <w:kern w:val="0"/>
                <w:sz w:val="20"/>
                <w:szCs w:val="20"/>
              </w:rPr>
              <w:t>全年接处大城管、市区110投诉转办件数</w:t>
            </w:r>
          </w:p>
        </w:tc>
        <w:tc>
          <w:tcPr>
            <w:tcW w:w="1418" w:type="dxa"/>
            <w:tcBorders>
              <w:top w:val="nil"/>
              <w:left w:val="nil"/>
              <w:bottom w:val="single" w:color="auto" w:sz="4" w:space="0"/>
              <w:right w:val="single" w:color="auto" w:sz="4" w:space="0"/>
            </w:tcBorders>
            <w:shd w:val="clear" w:color="auto" w:fill="auto"/>
            <w:vAlign w:val="center"/>
          </w:tcPr>
          <w:p w14:paraId="3DE58E3D">
            <w:pPr>
              <w:widowControl/>
              <w:spacing w:line="240" w:lineRule="auto"/>
              <w:ind w:firstLine="0" w:firstLineChars="0"/>
              <w:jc w:val="center"/>
              <w:rPr>
                <w:rFonts w:cs="宋体"/>
                <w:kern w:val="0"/>
                <w:sz w:val="20"/>
                <w:szCs w:val="20"/>
              </w:rPr>
            </w:pPr>
            <w:r>
              <w:rPr>
                <w:rFonts w:hint="eastAsia" w:cs="宋体"/>
                <w:kern w:val="0"/>
                <w:sz w:val="20"/>
                <w:szCs w:val="20"/>
              </w:rPr>
              <w:t>≤120件</w:t>
            </w:r>
          </w:p>
        </w:tc>
        <w:tc>
          <w:tcPr>
            <w:tcW w:w="916" w:type="dxa"/>
            <w:tcBorders>
              <w:top w:val="nil"/>
              <w:left w:val="nil"/>
              <w:bottom w:val="single" w:color="auto" w:sz="4" w:space="0"/>
              <w:right w:val="single" w:color="auto" w:sz="4" w:space="0"/>
            </w:tcBorders>
            <w:shd w:val="clear" w:color="auto" w:fill="auto"/>
            <w:vAlign w:val="center"/>
          </w:tcPr>
          <w:p w14:paraId="3D472CBD">
            <w:pPr>
              <w:widowControl/>
              <w:spacing w:line="240" w:lineRule="auto"/>
              <w:ind w:firstLine="0" w:firstLineChars="0"/>
              <w:jc w:val="center"/>
              <w:rPr>
                <w:rFonts w:cs="宋体"/>
                <w:kern w:val="0"/>
                <w:sz w:val="20"/>
                <w:szCs w:val="20"/>
              </w:rPr>
            </w:pPr>
            <w:r>
              <w:rPr>
                <w:rFonts w:hint="eastAsia" w:cs="宋体"/>
                <w:kern w:val="0"/>
                <w:sz w:val="20"/>
                <w:szCs w:val="20"/>
              </w:rPr>
              <w:t>103件</w:t>
            </w:r>
          </w:p>
        </w:tc>
        <w:tc>
          <w:tcPr>
            <w:tcW w:w="1236" w:type="dxa"/>
            <w:tcBorders>
              <w:top w:val="nil"/>
              <w:left w:val="nil"/>
              <w:bottom w:val="single" w:color="auto" w:sz="4" w:space="0"/>
              <w:right w:val="single" w:color="auto" w:sz="4" w:space="0"/>
            </w:tcBorders>
            <w:shd w:val="clear" w:color="auto" w:fill="auto"/>
            <w:vAlign w:val="center"/>
          </w:tcPr>
          <w:p w14:paraId="41546A18">
            <w:pPr>
              <w:widowControl/>
              <w:spacing w:line="240" w:lineRule="auto"/>
              <w:ind w:firstLine="0" w:firstLineChars="0"/>
              <w:jc w:val="center"/>
              <w:rPr>
                <w:rFonts w:cs="宋体"/>
                <w:kern w:val="0"/>
                <w:sz w:val="20"/>
                <w:szCs w:val="20"/>
              </w:rPr>
            </w:pPr>
            <w:r>
              <w:rPr>
                <w:rFonts w:cs="宋体"/>
                <w:kern w:val="0"/>
                <w:sz w:val="20"/>
                <w:szCs w:val="20"/>
              </w:rPr>
              <w:t>2</w:t>
            </w:r>
          </w:p>
        </w:tc>
      </w:tr>
      <w:tr w14:paraId="31C8C1FA">
        <w:tblPrEx>
          <w:tblCellMar>
            <w:top w:w="0" w:type="dxa"/>
            <w:left w:w="108" w:type="dxa"/>
            <w:bottom w:w="0" w:type="dxa"/>
            <w:right w:w="108" w:type="dxa"/>
          </w:tblCellMar>
        </w:tblPrEx>
        <w:trPr>
          <w:trHeight w:val="57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80105D">
            <w:pPr>
              <w:widowControl/>
              <w:spacing w:line="240" w:lineRule="auto"/>
              <w:ind w:firstLine="0" w:firstLineChars="0"/>
              <w:jc w:val="left"/>
              <w:rPr>
                <w:rFonts w:cs="宋体"/>
                <w:kern w:val="0"/>
                <w:sz w:val="20"/>
                <w:szCs w:val="20"/>
              </w:rPr>
            </w:pPr>
          </w:p>
        </w:tc>
        <w:tc>
          <w:tcPr>
            <w:tcW w:w="1779" w:type="dxa"/>
            <w:vMerge w:val="continue"/>
            <w:tcBorders>
              <w:left w:val="single" w:color="auto" w:sz="4" w:space="0"/>
              <w:right w:val="single" w:color="auto" w:sz="4" w:space="0"/>
            </w:tcBorders>
            <w:shd w:val="clear" w:color="auto" w:fill="auto"/>
            <w:vAlign w:val="center"/>
          </w:tcPr>
          <w:p w14:paraId="1F5BAC2B">
            <w:pPr>
              <w:widowControl/>
              <w:spacing w:line="240" w:lineRule="auto"/>
              <w:ind w:firstLine="0" w:firstLineChars="0"/>
              <w:jc w:val="left"/>
              <w:rPr>
                <w:rFonts w:cs="宋体"/>
                <w:kern w:val="0"/>
                <w:sz w:val="20"/>
                <w:szCs w:val="20"/>
              </w:rPr>
            </w:pPr>
          </w:p>
        </w:tc>
        <w:tc>
          <w:tcPr>
            <w:tcW w:w="2040" w:type="dxa"/>
            <w:tcBorders>
              <w:top w:val="nil"/>
              <w:left w:val="nil"/>
              <w:bottom w:val="single" w:color="auto" w:sz="4" w:space="0"/>
              <w:right w:val="single" w:color="auto" w:sz="4" w:space="0"/>
            </w:tcBorders>
            <w:shd w:val="clear" w:color="auto" w:fill="auto"/>
            <w:vAlign w:val="center"/>
          </w:tcPr>
          <w:p w14:paraId="1BECF830">
            <w:pPr>
              <w:widowControl/>
              <w:spacing w:line="240" w:lineRule="auto"/>
              <w:ind w:firstLine="0" w:firstLineChars="0"/>
              <w:rPr>
                <w:rFonts w:cs="宋体"/>
                <w:kern w:val="0"/>
                <w:sz w:val="20"/>
                <w:szCs w:val="20"/>
              </w:rPr>
            </w:pPr>
            <w:r>
              <w:rPr>
                <w:rFonts w:hint="eastAsia" w:cs="宋体"/>
                <w:kern w:val="0"/>
                <w:sz w:val="20"/>
                <w:szCs w:val="20"/>
              </w:rPr>
              <w:t>全年接处大城管、市区110投诉转办件回复率</w:t>
            </w:r>
          </w:p>
        </w:tc>
        <w:tc>
          <w:tcPr>
            <w:tcW w:w="1418" w:type="dxa"/>
            <w:tcBorders>
              <w:top w:val="nil"/>
              <w:left w:val="nil"/>
              <w:bottom w:val="single" w:color="auto" w:sz="4" w:space="0"/>
              <w:right w:val="single" w:color="auto" w:sz="4" w:space="0"/>
            </w:tcBorders>
            <w:shd w:val="clear" w:color="auto" w:fill="auto"/>
            <w:vAlign w:val="center"/>
          </w:tcPr>
          <w:p w14:paraId="5C227980">
            <w:pPr>
              <w:widowControl/>
              <w:spacing w:line="240" w:lineRule="auto"/>
              <w:ind w:firstLine="0" w:firstLineChars="0"/>
              <w:jc w:val="center"/>
              <w:rPr>
                <w:rFonts w:cs="宋体"/>
                <w:kern w:val="0"/>
                <w:sz w:val="20"/>
                <w:szCs w:val="20"/>
              </w:rPr>
            </w:pPr>
            <w:r>
              <w:rPr>
                <w:rFonts w:cs="宋体"/>
                <w:kern w:val="0"/>
                <w:sz w:val="20"/>
                <w:szCs w:val="20"/>
              </w:rPr>
              <w:t>100%</w:t>
            </w:r>
          </w:p>
        </w:tc>
        <w:tc>
          <w:tcPr>
            <w:tcW w:w="916" w:type="dxa"/>
            <w:tcBorders>
              <w:top w:val="nil"/>
              <w:left w:val="nil"/>
              <w:bottom w:val="single" w:color="auto" w:sz="4" w:space="0"/>
              <w:right w:val="single" w:color="auto" w:sz="4" w:space="0"/>
            </w:tcBorders>
            <w:shd w:val="clear" w:color="auto" w:fill="auto"/>
            <w:vAlign w:val="center"/>
          </w:tcPr>
          <w:p w14:paraId="4E2658DB">
            <w:pPr>
              <w:widowControl/>
              <w:spacing w:line="240" w:lineRule="auto"/>
              <w:ind w:firstLine="0" w:firstLineChars="0"/>
              <w:jc w:val="center"/>
              <w:rPr>
                <w:rFonts w:cs="宋体"/>
                <w:kern w:val="0"/>
                <w:sz w:val="20"/>
                <w:szCs w:val="20"/>
              </w:rPr>
            </w:pPr>
            <w:r>
              <w:rPr>
                <w:rFonts w:cs="宋体"/>
                <w:kern w:val="0"/>
                <w:sz w:val="20"/>
                <w:szCs w:val="20"/>
              </w:rPr>
              <w:t>100%</w:t>
            </w:r>
          </w:p>
        </w:tc>
        <w:tc>
          <w:tcPr>
            <w:tcW w:w="1236" w:type="dxa"/>
            <w:tcBorders>
              <w:top w:val="nil"/>
              <w:left w:val="nil"/>
              <w:bottom w:val="single" w:color="auto" w:sz="4" w:space="0"/>
              <w:right w:val="single" w:color="auto" w:sz="4" w:space="0"/>
            </w:tcBorders>
            <w:shd w:val="clear" w:color="auto" w:fill="auto"/>
            <w:vAlign w:val="center"/>
          </w:tcPr>
          <w:p w14:paraId="7AC713AD">
            <w:pPr>
              <w:widowControl/>
              <w:spacing w:line="240" w:lineRule="auto"/>
              <w:ind w:firstLine="0" w:firstLineChars="0"/>
              <w:jc w:val="center"/>
              <w:rPr>
                <w:rFonts w:cs="宋体"/>
                <w:kern w:val="0"/>
                <w:sz w:val="20"/>
                <w:szCs w:val="20"/>
              </w:rPr>
            </w:pPr>
            <w:r>
              <w:rPr>
                <w:rFonts w:cs="宋体"/>
                <w:kern w:val="0"/>
                <w:sz w:val="20"/>
                <w:szCs w:val="20"/>
              </w:rPr>
              <w:t>2</w:t>
            </w:r>
          </w:p>
        </w:tc>
      </w:tr>
      <w:tr w14:paraId="4BE0E60D">
        <w:tblPrEx>
          <w:tblCellMar>
            <w:top w:w="0" w:type="dxa"/>
            <w:left w:w="108" w:type="dxa"/>
            <w:bottom w:w="0" w:type="dxa"/>
            <w:right w:w="108" w:type="dxa"/>
          </w:tblCellMar>
        </w:tblPrEx>
        <w:trPr>
          <w:trHeight w:val="508"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E9DE39">
            <w:pPr>
              <w:widowControl/>
              <w:spacing w:line="240" w:lineRule="auto"/>
              <w:ind w:firstLine="0" w:firstLineChars="0"/>
              <w:jc w:val="left"/>
              <w:rPr>
                <w:rFonts w:cs="宋体"/>
                <w:kern w:val="0"/>
                <w:sz w:val="20"/>
                <w:szCs w:val="20"/>
              </w:rPr>
            </w:pPr>
          </w:p>
        </w:tc>
        <w:tc>
          <w:tcPr>
            <w:tcW w:w="1779" w:type="dxa"/>
            <w:vMerge w:val="continue"/>
            <w:tcBorders>
              <w:left w:val="single" w:color="auto" w:sz="4" w:space="0"/>
              <w:right w:val="single" w:color="auto" w:sz="4" w:space="0"/>
            </w:tcBorders>
            <w:shd w:val="clear" w:color="auto" w:fill="auto"/>
            <w:vAlign w:val="center"/>
          </w:tcPr>
          <w:p w14:paraId="1CED58F5">
            <w:pPr>
              <w:widowControl/>
              <w:spacing w:line="240" w:lineRule="auto"/>
              <w:ind w:firstLine="0" w:firstLineChars="0"/>
              <w:jc w:val="left"/>
              <w:rPr>
                <w:rFonts w:cs="宋体"/>
                <w:kern w:val="0"/>
                <w:sz w:val="20"/>
                <w:szCs w:val="20"/>
              </w:rPr>
            </w:pPr>
          </w:p>
        </w:tc>
        <w:tc>
          <w:tcPr>
            <w:tcW w:w="2040" w:type="dxa"/>
            <w:tcBorders>
              <w:top w:val="nil"/>
              <w:left w:val="nil"/>
              <w:bottom w:val="single" w:color="auto" w:sz="4" w:space="0"/>
              <w:right w:val="single" w:color="auto" w:sz="4" w:space="0"/>
            </w:tcBorders>
            <w:shd w:val="clear" w:color="auto" w:fill="auto"/>
            <w:vAlign w:val="center"/>
          </w:tcPr>
          <w:p w14:paraId="6D92BAB3">
            <w:pPr>
              <w:widowControl/>
              <w:spacing w:line="240" w:lineRule="auto"/>
              <w:ind w:firstLine="0" w:firstLineChars="0"/>
              <w:rPr>
                <w:rFonts w:cs="宋体"/>
                <w:kern w:val="0"/>
                <w:sz w:val="20"/>
                <w:szCs w:val="20"/>
              </w:rPr>
            </w:pPr>
            <w:r>
              <w:rPr>
                <w:rFonts w:hint="eastAsia" w:cs="宋体"/>
                <w:kern w:val="0"/>
                <w:sz w:val="20"/>
                <w:szCs w:val="20"/>
              </w:rPr>
              <w:t>全年工作总结完成篇数</w:t>
            </w:r>
          </w:p>
        </w:tc>
        <w:tc>
          <w:tcPr>
            <w:tcW w:w="1418" w:type="dxa"/>
            <w:tcBorders>
              <w:top w:val="nil"/>
              <w:left w:val="nil"/>
              <w:bottom w:val="single" w:color="auto" w:sz="4" w:space="0"/>
              <w:right w:val="single" w:color="auto" w:sz="4" w:space="0"/>
            </w:tcBorders>
            <w:shd w:val="clear" w:color="auto" w:fill="auto"/>
            <w:vAlign w:val="center"/>
          </w:tcPr>
          <w:p w14:paraId="39293606">
            <w:pPr>
              <w:widowControl/>
              <w:spacing w:line="240" w:lineRule="auto"/>
              <w:ind w:firstLine="0" w:firstLineChars="0"/>
              <w:jc w:val="center"/>
              <w:rPr>
                <w:rFonts w:cs="宋体"/>
                <w:kern w:val="0"/>
                <w:sz w:val="20"/>
                <w:szCs w:val="20"/>
              </w:rPr>
            </w:pPr>
            <w:r>
              <w:rPr>
                <w:rFonts w:hint="eastAsia" w:cs="宋体"/>
                <w:kern w:val="0"/>
                <w:sz w:val="20"/>
                <w:szCs w:val="20"/>
              </w:rPr>
              <w:t>≥1篇</w:t>
            </w:r>
          </w:p>
        </w:tc>
        <w:tc>
          <w:tcPr>
            <w:tcW w:w="916" w:type="dxa"/>
            <w:tcBorders>
              <w:top w:val="nil"/>
              <w:left w:val="nil"/>
              <w:bottom w:val="single" w:color="auto" w:sz="4" w:space="0"/>
              <w:right w:val="single" w:color="auto" w:sz="4" w:space="0"/>
            </w:tcBorders>
            <w:shd w:val="clear" w:color="auto" w:fill="auto"/>
            <w:vAlign w:val="center"/>
          </w:tcPr>
          <w:p w14:paraId="5E9DD721">
            <w:pPr>
              <w:widowControl/>
              <w:spacing w:line="240" w:lineRule="auto"/>
              <w:ind w:firstLine="0" w:firstLineChars="0"/>
              <w:jc w:val="center"/>
              <w:rPr>
                <w:rFonts w:cs="宋体"/>
                <w:kern w:val="0"/>
                <w:sz w:val="20"/>
                <w:szCs w:val="20"/>
              </w:rPr>
            </w:pPr>
            <w:r>
              <w:rPr>
                <w:rFonts w:hint="eastAsia" w:cs="宋体"/>
                <w:kern w:val="0"/>
                <w:sz w:val="20"/>
                <w:szCs w:val="20"/>
              </w:rPr>
              <w:t>1篇</w:t>
            </w:r>
          </w:p>
        </w:tc>
        <w:tc>
          <w:tcPr>
            <w:tcW w:w="1236" w:type="dxa"/>
            <w:tcBorders>
              <w:top w:val="nil"/>
              <w:left w:val="nil"/>
              <w:bottom w:val="single" w:color="auto" w:sz="4" w:space="0"/>
              <w:right w:val="single" w:color="auto" w:sz="4" w:space="0"/>
            </w:tcBorders>
            <w:shd w:val="clear" w:color="auto" w:fill="auto"/>
            <w:vAlign w:val="center"/>
          </w:tcPr>
          <w:p w14:paraId="31429D7D">
            <w:pPr>
              <w:widowControl/>
              <w:spacing w:line="240" w:lineRule="auto"/>
              <w:ind w:firstLine="0" w:firstLineChars="0"/>
              <w:jc w:val="center"/>
              <w:rPr>
                <w:rFonts w:cs="宋体"/>
                <w:kern w:val="0"/>
                <w:sz w:val="20"/>
                <w:szCs w:val="20"/>
              </w:rPr>
            </w:pPr>
            <w:r>
              <w:rPr>
                <w:rFonts w:cs="宋体"/>
                <w:kern w:val="0"/>
                <w:sz w:val="20"/>
                <w:szCs w:val="20"/>
              </w:rPr>
              <w:t>2</w:t>
            </w:r>
          </w:p>
        </w:tc>
      </w:tr>
      <w:tr w14:paraId="79297FC7">
        <w:tblPrEx>
          <w:tblCellMar>
            <w:top w:w="0" w:type="dxa"/>
            <w:left w:w="108" w:type="dxa"/>
            <w:bottom w:w="0" w:type="dxa"/>
            <w:right w:w="108" w:type="dxa"/>
          </w:tblCellMar>
        </w:tblPrEx>
        <w:trPr>
          <w:trHeight w:val="711"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B59EC3">
            <w:pPr>
              <w:widowControl/>
              <w:spacing w:line="240" w:lineRule="auto"/>
              <w:ind w:firstLine="0" w:firstLineChars="0"/>
              <w:jc w:val="left"/>
              <w:rPr>
                <w:rFonts w:cs="宋体"/>
                <w:kern w:val="0"/>
                <w:sz w:val="20"/>
                <w:szCs w:val="20"/>
              </w:rPr>
            </w:pPr>
          </w:p>
        </w:tc>
        <w:tc>
          <w:tcPr>
            <w:tcW w:w="1779" w:type="dxa"/>
            <w:vMerge w:val="continue"/>
            <w:tcBorders>
              <w:left w:val="single" w:color="auto" w:sz="4" w:space="0"/>
              <w:right w:val="single" w:color="auto" w:sz="4" w:space="0"/>
            </w:tcBorders>
            <w:shd w:val="clear" w:color="auto" w:fill="auto"/>
            <w:vAlign w:val="center"/>
          </w:tcPr>
          <w:p w14:paraId="43D774A0">
            <w:pPr>
              <w:widowControl/>
              <w:spacing w:line="240" w:lineRule="auto"/>
              <w:ind w:firstLine="0" w:firstLineChars="0"/>
              <w:jc w:val="left"/>
              <w:rPr>
                <w:rFonts w:cs="宋体"/>
                <w:kern w:val="0"/>
                <w:sz w:val="20"/>
                <w:szCs w:val="20"/>
              </w:rPr>
            </w:pPr>
          </w:p>
        </w:tc>
        <w:tc>
          <w:tcPr>
            <w:tcW w:w="2040" w:type="dxa"/>
            <w:tcBorders>
              <w:top w:val="nil"/>
              <w:left w:val="nil"/>
              <w:bottom w:val="single" w:color="auto" w:sz="4" w:space="0"/>
              <w:right w:val="single" w:color="auto" w:sz="4" w:space="0"/>
            </w:tcBorders>
            <w:shd w:val="clear" w:color="auto" w:fill="auto"/>
            <w:vAlign w:val="center"/>
          </w:tcPr>
          <w:p w14:paraId="59978FBC">
            <w:pPr>
              <w:widowControl/>
              <w:spacing w:line="240" w:lineRule="auto"/>
              <w:ind w:firstLine="0" w:firstLineChars="0"/>
              <w:rPr>
                <w:rFonts w:cs="宋体"/>
                <w:kern w:val="0"/>
                <w:sz w:val="20"/>
                <w:szCs w:val="20"/>
              </w:rPr>
            </w:pPr>
            <w:r>
              <w:rPr>
                <w:rFonts w:hint="eastAsia" w:cs="宋体"/>
                <w:kern w:val="0"/>
                <w:sz w:val="20"/>
                <w:szCs w:val="20"/>
              </w:rPr>
              <w:t>群众遇到问题是否能及时联系到排水队</w:t>
            </w:r>
          </w:p>
        </w:tc>
        <w:tc>
          <w:tcPr>
            <w:tcW w:w="1418" w:type="dxa"/>
            <w:tcBorders>
              <w:top w:val="nil"/>
              <w:left w:val="nil"/>
              <w:bottom w:val="single" w:color="auto" w:sz="4" w:space="0"/>
              <w:right w:val="single" w:color="auto" w:sz="4" w:space="0"/>
            </w:tcBorders>
            <w:shd w:val="clear" w:color="auto" w:fill="auto"/>
            <w:vAlign w:val="center"/>
          </w:tcPr>
          <w:p w14:paraId="4E9CCBEC">
            <w:pPr>
              <w:widowControl/>
              <w:spacing w:line="240" w:lineRule="auto"/>
              <w:ind w:firstLine="0" w:firstLineChars="0"/>
              <w:jc w:val="center"/>
              <w:rPr>
                <w:rFonts w:cs="宋体"/>
                <w:kern w:val="0"/>
                <w:sz w:val="20"/>
                <w:szCs w:val="20"/>
              </w:rPr>
            </w:pPr>
            <w:r>
              <w:rPr>
                <w:rFonts w:hint="eastAsia" w:cs="宋体"/>
                <w:kern w:val="0"/>
                <w:sz w:val="20"/>
                <w:szCs w:val="20"/>
              </w:rPr>
              <w:t>100%</w:t>
            </w:r>
          </w:p>
        </w:tc>
        <w:tc>
          <w:tcPr>
            <w:tcW w:w="916" w:type="dxa"/>
            <w:tcBorders>
              <w:top w:val="nil"/>
              <w:left w:val="nil"/>
              <w:bottom w:val="single" w:color="auto" w:sz="4" w:space="0"/>
              <w:right w:val="single" w:color="auto" w:sz="4" w:space="0"/>
            </w:tcBorders>
            <w:shd w:val="clear" w:color="auto" w:fill="auto"/>
            <w:vAlign w:val="center"/>
          </w:tcPr>
          <w:p w14:paraId="5E179D56">
            <w:pPr>
              <w:widowControl/>
              <w:spacing w:line="240" w:lineRule="auto"/>
              <w:ind w:firstLine="0" w:firstLineChars="0"/>
              <w:jc w:val="center"/>
              <w:rPr>
                <w:rFonts w:cs="宋体"/>
                <w:kern w:val="0"/>
                <w:sz w:val="20"/>
                <w:szCs w:val="20"/>
              </w:rPr>
            </w:pPr>
            <w:r>
              <w:rPr>
                <w:rFonts w:hint="eastAsia" w:cs="宋体"/>
                <w:kern w:val="0"/>
                <w:sz w:val="20"/>
                <w:szCs w:val="20"/>
              </w:rPr>
              <w:t>100%</w:t>
            </w:r>
          </w:p>
        </w:tc>
        <w:tc>
          <w:tcPr>
            <w:tcW w:w="1236" w:type="dxa"/>
            <w:tcBorders>
              <w:top w:val="nil"/>
              <w:left w:val="nil"/>
              <w:bottom w:val="single" w:color="auto" w:sz="4" w:space="0"/>
              <w:right w:val="single" w:color="auto" w:sz="4" w:space="0"/>
            </w:tcBorders>
            <w:shd w:val="clear" w:color="auto" w:fill="auto"/>
            <w:vAlign w:val="center"/>
          </w:tcPr>
          <w:p w14:paraId="6367A4C3">
            <w:pPr>
              <w:widowControl/>
              <w:spacing w:line="240" w:lineRule="auto"/>
              <w:ind w:firstLine="0" w:firstLineChars="0"/>
              <w:jc w:val="center"/>
              <w:rPr>
                <w:rFonts w:cs="宋体"/>
                <w:kern w:val="0"/>
                <w:sz w:val="20"/>
                <w:szCs w:val="20"/>
              </w:rPr>
            </w:pPr>
            <w:r>
              <w:rPr>
                <w:rFonts w:hint="eastAsia" w:cs="宋体"/>
                <w:kern w:val="0"/>
                <w:sz w:val="20"/>
                <w:szCs w:val="20"/>
              </w:rPr>
              <w:t>2</w:t>
            </w:r>
          </w:p>
        </w:tc>
      </w:tr>
      <w:tr w14:paraId="523AB703">
        <w:tblPrEx>
          <w:tblCellMar>
            <w:top w:w="0" w:type="dxa"/>
            <w:left w:w="108" w:type="dxa"/>
            <w:bottom w:w="0" w:type="dxa"/>
            <w:right w:w="108" w:type="dxa"/>
          </w:tblCellMar>
        </w:tblPrEx>
        <w:trPr>
          <w:trHeight w:val="711"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D30088">
            <w:pPr>
              <w:widowControl/>
              <w:spacing w:line="240" w:lineRule="auto"/>
              <w:ind w:firstLine="0" w:firstLineChars="0"/>
              <w:jc w:val="left"/>
              <w:rPr>
                <w:rFonts w:cs="宋体"/>
                <w:kern w:val="0"/>
                <w:sz w:val="20"/>
                <w:szCs w:val="20"/>
              </w:rPr>
            </w:pPr>
          </w:p>
        </w:tc>
        <w:tc>
          <w:tcPr>
            <w:tcW w:w="1779" w:type="dxa"/>
            <w:vMerge w:val="continue"/>
            <w:tcBorders>
              <w:left w:val="single" w:color="auto" w:sz="4" w:space="0"/>
              <w:right w:val="single" w:color="auto" w:sz="4" w:space="0"/>
            </w:tcBorders>
            <w:shd w:val="clear" w:color="auto" w:fill="auto"/>
            <w:vAlign w:val="center"/>
          </w:tcPr>
          <w:p w14:paraId="6D876808">
            <w:pPr>
              <w:widowControl/>
              <w:spacing w:line="240" w:lineRule="auto"/>
              <w:ind w:firstLine="0" w:firstLineChars="0"/>
              <w:jc w:val="left"/>
              <w:rPr>
                <w:rFonts w:cs="宋体"/>
                <w:kern w:val="0"/>
                <w:sz w:val="20"/>
                <w:szCs w:val="20"/>
              </w:rPr>
            </w:pPr>
          </w:p>
        </w:tc>
        <w:tc>
          <w:tcPr>
            <w:tcW w:w="2040" w:type="dxa"/>
            <w:tcBorders>
              <w:top w:val="nil"/>
              <w:left w:val="nil"/>
              <w:bottom w:val="single" w:color="auto" w:sz="4" w:space="0"/>
              <w:right w:val="single" w:color="auto" w:sz="4" w:space="0"/>
            </w:tcBorders>
            <w:shd w:val="clear" w:color="auto" w:fill="auto"/>
            <w:vAlign w:val="center"/>
          </w:tcPr>
          <w:p w14:paraId="7A71DC8D">
            <w:pPr>
              <w:widowControl/>
              <w:spacing w:line="240" w:lineRule="auto"/>
              <w:ind w:firstLine="0" w:firstLineChars="0"/>
              <w:rPr>
                <w:rFonts w:cs="宋体"/>
                <w:kern w:val="0"/>
                <w:sz w:val="20"/>
                <w:szCs w:val="20"/>
              </w:rPr>
            </w:pPr>
            <w:r>
              <w:rPr>
                <w:rFonts w:hint="eastAsia" w:cs="宋体"/>
                <w:kern w:val="0"/>
                <w:sz w:val="20"/>
                <w:szCs w:val="20"/>
              </w:rPr>
              <w:t>工作任务完成及时率</w:t>
            </w:r>
          </w:p>
        </w:tc>
        <w:tc>
          <w:tcPr>
            <w:tcW w:w="1418" w:type="dxa"/>
            <w:tcBorders>
              <w:top w:val="nil"/>
              <w:left w:val="nil"/>
              <w:bottom w:val="single" w:color="auto" w:sz="4" w:space="0"/>
              <w:right w:val="single" w:color="auto" w:sz="4" w:space="0"/>
            </w:tcBorders>
            <w:shd w:val="clear" w:color="auto" w:fill="auto"/>
            <w:vAlign w:val="center"/>
          </w:tcPr>
          <w:p w14:paraId="5F67DEF2">
            <w:pPr>
              <w:widowControl/>
              <w:spacing w:line="240" w:lineRule="auto"/>
              <w:ind w:firstLine="0" w:firstLineChars="0"/>
              <w:jc w:val="center"/>
              <w:rPr>
                <w:rFonts w:cs="宋体"/>
                <w:kern w:val="0"/>
                <w:sz w:val="20"/>
                <w:szCs w:val="20"/>
              </w:rPr>
            </w:pPr>
            <w:r>
              <w:rPr>
                <w:rFonts w:hint="eastAsia" w:cs="宋体"/>
                <w:kern w:val="0"/>
                <w:sz w:val="20"/>
                <w:szCs w:val="20"/>
              </w:rPr>
              <w:t>100%</w:t>
            </w:r>
          </w:p>
        </w:tc>
        <w:tc>
          <w:tcPr>
            <w:tcW w:w="916" w:type="dxa"/>
            <w:tcBorders>
              <w:top w:val="nil"/>
              <w:left w:val="nil"/>
              <w:bottom w:val="single" w:color="auto" w:sz="4" w:space="0"/>
              <w:right w:val="single" w:color="auto" w:sz="4" w:space="0"/>
            </w:tcBorders>
            <w:shd w:val="clear" w:color="auto" w:fill="auto"/>
            <w:vAlign w:val="center"/>
          </w:tcPr>
          <w:p w14:paraId="359E38EE">
            <w:pPr>
              <w:widowControl/>
              <w:spacing w:line="240" w:lineRule="auto"/>
              <w:ind w:firstLine="0" w:firstLineChars="0"/>
              <w:jc w:val="center"/>
              <w:rPr>
                <w:rFonts w:cs="宋体"/>
                <w:kern w:val="0"/>
                <w:sz w:val="20"/>
                <w:szCs w:val="20"/>
              </w:rPr>
            </w:pPr>
            <w:r>
              <w:rPr>
                <w:rFonts w:hint="eastAsia" w:cs="宋体"/>
                <w:kern w:val="0"/>
                <w:sz w:val="20"/>
                <w:szCs w:val="20"/>
              </w:rPr>
              <w:t>100%</w:t>
            </w:r>
          </w:p>
        </w:tc>
        <w:tc>
          <w:tcPr>
            <w:tcW w:w="1236" w:type="dxa"/>
            <w:tcBorders>
              <w:top w:val="nil"/>
              <w:left w:val="nil"/>
              <w:bottom w:val="single" w:color="auto" w:sz="4" w:space="0"/>
              <w:right w:val="single" w:color="auto" w:sz="4" w:space="0"/>
            </w:tcBorders>
            <w:shd w:val="clear" w:color="auto" w:fill="auto"/>
            <w:vAlign w:val="center"/>
          </w:tcPr>
          <w:p w14:paraId="15B33D1E">
            <w:pPr>
              <w:widowControl/>
              <w:spacing w:line="240" w:lineRule="auto"/>
              <w:ind w:firstLine="0" w:firstLineChars="0"/>
              <w:jc w:val="center"/>
              <w:rPr>
                <w:rFonts w:cs="宋体"/>
                <w:kern w:val="0"/>
                <w:sz w:val="20"/>
                <w:szCs w:val="20"/>
              </w:rPr>
            </w:pPr>
            <w:r>
              <w:rPr>
                <w:rFonts w:hint="eastAsia" w:cs="宋体"/>
                <w:kern w:val="0"/>
                <w:sz w:val="20"/>
                <w:szCs w:val="20"/>
              </w:rPr>
              <w:t>3</w:t>
            </w:r>
          </w:p>
        </w:tc>
      </w:tr>
      <w:tr w14:paraId="7BFB0A07">
        <w:tblPrEx>
          <w:tblCellMar>
            <w:top w:w="0" w:type="dxa"/>
            <w:left w:w="108" w:type="dxa"/>
            <w:bottom w:w="0" w:type="dxa"/>
            <w:right w:w="108" w:type="dxa"/>
          </w:tblCellMar>
        </w:tblPrEx>
        <w:trPr>
          <w:trHeight w:val="711"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5107C3">
            <w:pPr>
              <w:widowControl/>
              <w:spacing w:line="240" w:lineRule="auto"/>
              <w:ind w:firstLine="0" w:firstLineChars="0"/>
              <w:jc w:val="left"/>
              <w:rPr>
                <w:rFonts w:cs="宋体"/>
                <w:kern w:val="0"/>
                <w:sz w:val="20"/>
                <w:szCs w:val="20"/>
              </w:rPr>
            </w:pPr>
          </w:p>
        </w:tc>
        <w:tc>
          <w:tcPr>
            <w:tcW w:w="1779" w:type="dxa"/>
            <w:vMerge w:val="continue"/>
            <w:tcBorders>
              <w:left w:val="single" w:color="auto" w:sz="4" w:space="0"/>
              <w:right w:val="single" w:color="auto" w:sz="4" w:space="0"/>
            </w:tcBorders>
            <w:shd w:val="clear" w:color="auto" w:fill="auto"/>
            <w:vAlign w:val="center"/>
          </w:tcPr>
          <w:p w14:paraId="1D6B1BEE">
            <w:pPr>
              <w:widowControl/>
              <w:spacing w:line="240" w:lineRule="auto"/>
              <w:ind w:firstLine="0" w:firstLineChars="0"/>
              <w:jc w:val="left"/>
              <w:rPr>
                <w:rFonts w:cs="宋体"/>
                <w:kern w:val="0"/>
                <w:sz w:val="20"/>
                <w:szCs w:val="20"/>
              </w:rPr>
            </w:pPr>
          </w:p>
        </w:tc>
        <w:tc>
          <w:tcPr>
            <w:tcW w:w="2040" w:type="dxa"/>
            <w:tcBorders>
              <w:top w:val="nil"/>
              <w:left w:val="nil"/>
              <w:bottom w:val="single" w:color="auto" w:sz="4" w:space="0"/>
              <w:right w:val="single" w:color="auto" w:sz="4" w:space="0"/>
            </w:tcBorders>
            <w:shd w:val="clear" w:color="auto" w:fill="auto"/>
            <w:vAlign w:val="center"/>
          </w:tcPr>
          <w:p w14:paraId="7FBE11C3">
            <w:pPr>
              <w:widowControl/>
              <w:spacing w:line="240" w:lineRule="auto"/>
              <w:ind w:firstLine="0" w:firstLineChars="0"/>
              <w:rPr>
                <w:rFonts w:cs="宋体"/>
                <w:kern w:val="0"/>
                <w:sz w:val="20"/>
                <w:szCs w:val="20"/>
              </w:rPr>
            </w:pPr>
            <w:r>
              <w:rPr>
                <w:rFonts w:hint="eastAsia" w:cs="宋体"/>
                <w:kern w:val="0"/>
                <w:sz w:val="20"/>
                <w:szCs w:val="20"/>
              </w:rPr>
              <w:t>工作人员出勤率</w:t>
            </w:r>
          </w:p>
        </w:tc>
        <w:tc>
          <w:tcPr>
            <w:tcW w:w="1418" w:type="dxa"/>
            <w:tcBorders>
              <w:top w:val="nil"/>
              <w:left w:val="nil"/>
              <w:bottom w:val="single" w:color="auto" w:sz="4" w:space="0"/>
              <w:right w:val="single" w:color="auto" w:sz="4" w:space="0"/>
            </w:tcBorders>
            <w:shd w:val="clear" w:color="auto" w:fill="auto"/>
            <w:vAlign w:val="center"/>
          </w:tcPr>
          <w:p w14:paraId="641CB5F9">
            <w:pPr>
              <w:widowControl/>
              <w:spacing w:line="240" w:lineRule="auto"/>
              <w:ind w:firstLine="0" w:firstLineChars="0"/>
              <w:jc w:val="center"/>
              <w:rPr>
                <w:rFonts w:cs="宋体"/>
                <w:kern w:val="0"/>
                <w:sz w:val="20"/>
                <w:szCs w:val="20"/>
              </w:rPr>
            </w:pPr>
            <w:r>
              <w:rPr>
                <w:rFonts w:hint="eastAsia" w:cs="宋体"/>
                <w:kern w:val="0"/>
                <w:sz w:val="20"/>
                <w:szCs w:val="20"/>
              </w:rPr>
              <w:t>100%</w:t>
            </w:r>
          </w:p>
        </w:tc>
        <w:tc>
          <w:tcPr>
            <w:tcW w:w="916" w:type="dxa"/>
            <w:tcBorders>
              <w:top w:val="nil"/>
              <w:left w:val="nil"/>
              <w:bottom w:val="single" w:color="auto" w:sz="4" w:space="0"/>
              <w:right w:val="single" w:color="auto" w:sz="4" w:space="0"/>
            </w:tcBorders>
            <w:shd w:val="clear" w:color="auto" w:fill="auto"/>
            <w:vAlign w:val="center"/>
          </w:tcPr>
          <w:p w14:paraId="12458E88">
            <w:pPr>
              <w:widowControl/>
              <w:spacing w:line="240" w:lineRule="auto"/>
              <w:ind w:firstLine="0" w:firstLineChars="0"/>
              <w:jc w:val="center"/>
              <w:rPr>
                <w:rFonts w:cs="宋体"/>
                <w:kern w:val="0"/>
                <w:sz w:val="20"/>
                <w:szCs w:val="20"/>
              </w:rPr>
            </w:pPr>
            <w:r>
              <w:rPr>
                <w:rFonts w:hint="eastAsia" w:cs="宋体"/>
                <w:kern w:val="0"/>
                <w:sz w:val="20"/>
                <w:szCs w:val="20"/>
              </w:rPr>
              <w:t>100%</w:t>
            </w:r>
          </w:p>
        </w:tc>
        <w:tc>
          <w:tcPr>
            <w:tcW w:w="1236" w:type="dxa"/>
            <w:tcBorders>
              <w:top w:val="nil"/>
              <w:left w:val="nil"/>
              <w:bottom w:val="single" w:color="auto" w:sz="4" w:space="0"/>
              <w:right w:val="single" w:color="auto" w:sz="4" w:space="0"/>
            </w:tcBorders>
            <w:shd w:val="clear" w:color="auto" w:fill="auto"/>
            <w:vAlign w:val="center"/>
          </w:tcPr>
          <w:p w14:paraId="07BEC39D">
            <w:pPr>
              <w:widowControl/>
              <w:spacing w:line="240" w:lineRule="auto"/>
              <w:ind w:firstLine="0" w:firstLineChars="0"/>
              <w:jc w:val="center"/>
              <w:rPr>
                <w:rFonts w:cs="宋体"/>
                <w:kern w:val="0"/>
                <w:sz w:val="20"/>
                <w:szCs w:val="20"/>
              </w:rPr>
            </w:pPr>
            <w:r>
              <w:rPr>
                <w:rFonts w:hint="eastAsia" w:cs="宋体"/>
                <w:kern w:val="0"/>
                <w:sz w:val="20"/>
                <w:szCs w:val="20"/>
              </w:rPr>
              <w:t>3</w:t>
            </w:r>
          </w:p>
        </w:tc>
      </w:tr>
      <w:tr w14:paraId="7585CC05">
        <w:tblPrEx>
          <w:tblCellMar>
            <w:top w:w="0" w:type="dxa"/>
            <w:left w:w="108" w:type="dxa"/>
            <w:bottom w:w="0" w:type="dxa"/>
            <w:right w:w="108" w:type="dxa"/>
          </w:tblCellMar>
        </w:tblPrEx>
        <w:trPr>
          <w:trHeight w:val="711"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792F42">
            <w:pPr>
              <w:widowControl/>
              <w:spacing w:line="240" w:lineRule="auto"/>
              <w:ind w:firstLine="0" w:firstLineChars="0"/>
              <w:jc w:val="left"/>
              <w:rPr>
                <w:rFonts w:cs="宋体"/>
                <w:kern w:val="0"/>
                <w:sz w:val="20"/>
                <w:szCs w:val="20"/>
              </w:rPr>
            </w:pPr>
          </w:p>
        </w:tc>
        <w:tc>
          <w:tcPr>
            <w:tcW w:w="1779" w:type="dxa"/>
            <w:vMerge w:val="continue"/>
            <w:tcBorders>
              <w:left w:val="single" w:color="auto" w:sz="4" w:space="0"/>
              <w:right w:val="single" w:color="auto" w:sz="4" w:space="0"/>
            </w:tcBorders>
            <w:shd w:val="clear" w:color="auto" w:fill="auto"/>
            <w:vAlign w:val="center"/>
          </w:tcPr>
          <w:p w14:paraId="40976B98">
            <w:pPr>
              <w:widowControl/>
              <w:spacing w:line="240" w:lineRule="auto"/>
              <w:ind w:firstLine="0" w:firstLineChars="0"/>
              <w:jc w:val="left"/>
              <w:rPr>
                <w:rFonts w:cs="宋体"/>
                <w:kern w:val="0"/>
                <w:sz w:val="20"/>
                <w:szCs w:val="20"/>
              </w:rPr>
            </w:pPr>
          </w:p>
        </w:tc>
        <w:tc>
          <w:tcPr>
            <w:tcW w:w="2040" w:type="dxa"/>
            <w:tcBorders>
              <w:top w:val="nil"/>
              <w:left w:val="nil"/>
              <w:bottom w:val="single" w:color="auto" w:sz="4" w:space="0"/>
              <w:right w:val="single" w:color="auto" w:sz="4" w:space="0"/>
            </w:tcBorders>
            <w:shd w:val="clear" w:color="auto" w:fill="auto"/>
            <w:vAlign w:val="center"/>
          </w:tcPr>
          <w:p w14:paraId="19787B20">
            <w:pPr>
              <w:widowControl/>
              <w:spacing w:line="240" w:lineRule="auto"/>
              <w:ind w:firstLine="0" w:firstLineChars="0"/>
              <w:rPr>
                <w:rFonts w:cs="宋体"/>
                <w:kern w:val="0"/>
                <w:sz w:val="20"/>
                <w:szCs w:val="20"/>
              </w:rPr>
            </w:pPr>
            <w:r>
              <w:rPr>
                <w:rFonts w:hint="eastAsia" w:cs="宋体"/>
                <w:kern w:val="0"/>
                <w:sz w:val="20"/>
                <w:szCs w:val="20"/>
              </w:rPr>
              <w:t>军运会排水设施疏捞、添置、维修数量</w:t>
            </w:r>
          </w:p>
        </w:tc>
        <w:tc>
          <w:tcPr>
            <w:tcW w:w="1418" w:type="dxa"/>
            <w:tcBorders>
              <w:top w:val="nil"/>
              <w:left w:val="nil"/>
              <w:bottom w:val="single" w:color="auto" w:sz="4" w:space="0"/>
              <w:right w:val="single" w:color="auto" w:sz="4" w:space="0"/>
            </w:tcBorders>
            <w:shd w:val="clear" w:color="auto" w:fill="auto"/>
            <w:vAlign w:val="center"/>
          </w:tcPr>
          <w:p w14:paraId="385CEA79">
            <w:pPr>
              <w:widowControl/>
              <w:spacing w:line="240" w:lineRule="auto"/>
              <w:ind w:firstLine="0" w:firstLineChars="0"/>
              <w:jc w:val="center"/>
              <w:rPr>
                <w:rFonts w:cs="宋体"/>
                <w:kern w:val="0"/>
                <w:sz w:val="20"/>
                <w:szCs w:val="20"/>
              </w:rPr>
            </w:pPr>
            <w:r>
              <w:rPr>
                <w:rFonts w:hint="eastAsia" w:cs="宋体"/>
                <w:kern w:val="0"/>
                <w:sz w:val="20"/>
                <w:szCs w:val="20"/>
              </w:rPr>
              <w:t>≥5000处</w:t>
            </w:r>
          </w:p>
        </w:tc>
        <w:tc>
          <w:tcPr>
            <w:tcW w:w="916" w:type="dxa"/>
            <w:tcBorders>
              <w:top w:val="nil"/>
              <w:left w:val="nil"/>
              <w:bottom w:val="single" w:color="auto" w:sz="4" w:space="0"/>
              <w:right w:val="single" w:color="auto" w:sz="4" w:space="0"/>
            </w:tcBorders>
            <w:shd w:val="clear" w:color="auto" w:fill="auto"/>
            <w:vAlign w:val="center"/>
          </w:tcPr>
          <w:p w14:paraId="2BB94C18">
            <w:pPr>
              <w:widowControl/>
              <w:spacing w:line="240" w:lineRule="auto"/>
              <w:ind w:firstLine="0" w:firstLineChars="0"/>
              <w:jc w:val="center"/>
              <w:rPr>
                <w:rFonts w:cs="宋体"/>
                <w:kern w:val="0"/>
                <w:sz w:val="20"/>
                <w:szCs w:val="20"/>
              </w:rPr>
            </w:pPr>
            <w:r>
              <w:rPr>
                <w:rFonts w:hint="eastAsia" w:cs="宋体"/>
                <w:kern w:val="0"/>
                <w:sz w:val="20"/>
                <w:szCs w:val="20"/>
              </w:rPr>
              <w:t>5323处</w:t>
            </w:r>
          </w:p>
        </w:tc>
        <w:tc>
          <w:tcPr>
            <w:tcW w:w="1236" w:type="dxa"/>
            <w:tcBorders>
              <w:top w:val="nil"/>
              <w:left w:val="nil"/>
              <w:bottom w:val="single" w:color="auto" w:sz="4" w:space="0"/>
              <w:right w:val="single" w:color="auto" w:sz="4" w:space="0"/>
            </w:tcBorders>
            <w:shd w:val="clear" w:color="auto" w:fill="auto"/>
            <w:vAlign w:val="center"/>
          </w:tcPr>
          <w:p w14:paraId="148296F5">
            <w:pPr>
              <w:widowControl/>
              <w:spacing w:line="240" w:lineRule="auto"/>
              <w:ind w:firstLine="0" w:firstLineChars="0"/>
              <w:jc w:val="center"/>
              <w:rPr>
                <w:rFonts w:cs="宋体"/>
                <w:kern w:val="0"/>
                <w:sz w:val="20"/>
                <w:szCs w:val="20"/>
              </w:rPr>
            </w:pPr>
            <w:r>
              <w:rPr>
                <w:rFonts w:hint="eastAsia" w:cs="宋体"/>
                <w:kern w:val="0"/>
                <w:sz w:val="20"/>
                <w:szCs w:val="20"/>
              </w:rPr>
              <w:t>3</w:t>
            </w:r>
          </w:p>
        </w:tc>
      </w:tr>
      <w:tr w14:paraId="55F6AF32">
        <w:tblPrEx>
          <w:tblCellMar>
            <w:top w:w="0" w:type="dxa"/>
            <w:left w:w="108" w:type="dxa"/>
            <w:bottom w:w="0" w:type="dxa"/>
            <w:right w:w="108" w:type="dxa"/>
          </w:tblCellMar>
        </w:tblPrEx>
        <w:trPr>
          <w:trHeight w:val="711"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FBAB47">
            <w:pPr>
              <w:widowControl/>
              <w:spacing w:line="240" w:lineRule="auto"/>
              <w:ind w:firstLine="0" w:firstLineChars="0"/>
              <w:jc w:val="left"/>
              <w:rPr>
                <w:rFonts w:cs="宋体"/>
                <w:kern w:val="0"/>
                <w:sz w:val="20"/>
                <w:szCs w:val="20"/>
              </w:rPr>
            </w:pPr>
          </w:p>
        </w:tc>
        <w:tc>
          <w:tcPr>
            <w:tcW w:w="1779" w:type="dxa"/>
            <w:vMerge w:val="continue"/>
            <w:tcBorders>
              <w:left w:val="single" w:color="auto" w:sz="4" w:space="0"/>
              <w:right w:val="single" w:color="auto" w:sz="4" w:space="0"/>
            </w:tcBorders>
            <w:shd w:val="clear" w:color="auto" w:fill="auto"/>
            <w:vAlign w:val="center"/>
          </w:tcPr>
          <w:p w14:paraId="2F5E65C8">
            <w:pPr>
              <w:widowControl/>
              <w:spacing w:line="240" w:lineRule="auto"/>
              <w:ind w:firstLine="0" w:firstLineChars="0"/>
              <w:jc w:val="left"/>
              <w:rPr>
                <w:rFonts w:cs="宋体"/>
                <w:kern w:val="0"/>
                <w:sz w:val="20"/>
                <w:szCs w:val="20"/>
              </w:rPr>
            </w:pPr>
          </w:p>
        </w:tc>
        <w:tc>
          <w:tcPr>
            <w:tcW w:w="2040" w:type="dxa"/>
            <w:tcBorders>
              <w:top w:val="nil"/>
              <w:left w:val="nil"/>
              <w:bottom w:val="single" w:color="auto" w:sz="4" w:space="0"/>
              <w:right w:val="single" w:color="auto" w:sz="4" w:space="0"/>
            </w:tcBorders>
            <w:shd w:val="clear" w:color="auto" w:fill="auto"/>
            <w:vAlign w:val="center"/>
          </w:tcPr>
          <w:p w14:paraId="493655E0">
            <w:pPr>
              <w:widowControl/>
              <w:spacing w:line="240" w:lineRule="auto"/>
              <w:ind w:firstLine="0" w:firstLineChars="0"/>
              <w:rPr>
                <w:rFonts w:cs="宋体"/>
                <w:kern w:val="0"/>
                <w:sz w:val="20"/>
                <w:szCs w:val="20"/>
              </w:rPr>
            </w:pPr>
            <w:r>
              <w:rPr>
                <w:rFonts w:hint="eastAsia" w:cs="宋体"/>
                <w:kern w:val="0"/>
                <w:sz w:val="20"/>
                <w:szCs w:val="20"/>
              </w:rPr>
              <w:t>工作任务完成及时率</w:t>
            </w:r>
          </w:p>
        </w:tc>
        <w:tc>
          <w:tcPr>
            <w:tcW w:w="1418" w:type="dxa"/>
            <w:tcBorders>
              <w:top w:val="nil"/>
              <w:left w:val="nil"/>
              <w:bottom w:val="single" w:color="auto" w:sz="4" w:space="0"/>
              <w:right w:val="single" w:color="auto" w:sz="4" w:space="0"/>
            </w:tcBorders>
            <w:shd w:val="clear" w:color="auto" w:fill="auto"/>
            <w:vAlign w:val="center"/>
          </w:tcPr>
          <w:p w14:paraId="74EA864F">
            <w:pPr>
              <w:widowControl/>
              <w:spacing w:line="240" w:lineRule="auto"/>
              <w:ind w:firstLine="0" w:firstLineChars="0"/>
              <w:jc w:val="center"/>
              <w:rPr>
                <w:rFonts w:cs="宋体"/>
                <w:kern w:val="0"/>
                <w:sz w:val="20"/>
                <w:szCs w:val="20"/>
              </w:rPr>
            </w:pPr>
            <w:r>
              <w:rPr>
                <w:rFonts w:hint="eastAsia" w:cs="宋体"/>
                <w:kern w:val="0"/>
                <w:sz w:val="20"/>
                <w:szCs w:val="20"/>
              </w:rPr>
              <w:t>100%</w:t>
            </w:r>
          </w:p>
        </w:tc>
        <w:tc>
          <w:tcPr>
            <w:tcW w:w="916" w:type="dxa"/>
            <w:tcBorders>
              <w:top w:val="nil"/>
              <w:left w:val="nil"/>
              <w:bottom w:val="single" w:color="auto" w:sz="4" w:space="0"/>
              <w:right w:val="single" w:color="auto" w:sz="4" w:space="0"/>
            </w:tcBorders>
            <w:shd w:val="clear" w:color="auto" w:fill="auto"/>
            <w:vAlign w:val="center"/>
          </w:tcPr>
          <w:p w14:paraId="03EF7283">
            <w:pPr>
              <w:widowControl/>
              <w:spacing w:line="240" w:lineRule="auto"/>
              <w:ind w:firstLine="0" w:firstLineChars="0"/>
              <w:jc w:val="center"/>
              <w:rPr>
                <w:rFonts w:cs="宋体"/>
                <w:kern w:val="0"/>
                <w:sz w:val="20"/>
                <w:szCs w:val="20"/>
              </w:rPr>
            </w:pPr>
            <w:r>
              <w:rPr>
                <w:rFonts w:hint="eastAsia" w:cs="宋体"/>
                <w:kern w:val="0"/>
                <w:sz w:val="20"/>
                <w:szCs w:val="20"/>
              </w:rPr>
              <w:t>100%</w:t>
            </w:r>
          </w:p>
        </w:tc>
        <w:tc>
          <w:tcPr>
            <w:tcW w:w="1236" w:type="dxa"/>
            <w:tcBorders>
              <w:top w:val="nil"/>
              <w:left w:val="nil"/>
              <w:bottom w:val="single" w:color="auto" w:sz="4" w:space="0"/>
              <w:right w:val="single" w:color="auto" w:sz="4" w:space="0"/>
            </w:tcBorders>
            <w:shd w:val="clear" w:color="auto" w:fill="auto"/>
            <w:vAlign w:val="center"/>
          </w:tcPr>
          <w:p w14:paraId="5371E676">
            <w:pPr>
              <w:widowControl/>
              <w:spacing w:line="240" w:lineRule="auto"/>
              <w:ind w:firstLine="0" w:firstLineChars="0"/>
              <w:jc w:val="center"/>
              <w:rPr>
                <w:rFonts w:cs="宋体"/>
                <w:kern w:val="0"/>
                <w:sz w:val="20"/>
                <w:szCs w:val="20"/>
              </w:rPr>
            </w:pPr>
            <w:r>
              <w:rPr>
                <w:rFonts w:hint="eastAsia" w:cs="宋体"/>
                <w:kern w:val="0"/>
                <w:sz w:val="20"/>
                <w:szCs w:val="20"/>
              </w:rPr>
              <w:t>3</w:t>
            </w:r>
          </w:p>
        </w:tc>
      </w:tr>
      <w:tr w14:paraId="3A29FDA3">
        <w:tblPrEx>
          <w:tblCellMar>
            <w:top w:w="0" w:type="dxa"/>
            <w:left w:w="108" w:type="dxa"/>
            <w:bottom w:w="0" w:type="dxa"/>
            <w:right w:w="108" w:type="dxa"/>
          </w:tblCellMar>
        </w:tblPrEx>
        <w:trPr>
          <w:trHeight w:val="711"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7ABC7A">
            <w:pPr>
              <w:widowControl/>
              <w:spacing w:line="240" w:lineRule="auto"/>
              <w:ind w:firstLine="0" w:firstLineChars="0"/>
              <w:jc w:val="left"/>
              <w:rPr>
                <w:rFonts w:cs="宋体"/>
                <w:kern w:val="0"/>
                <w:sz w:val="20"/>
                <w:szCs w:val="20"/>
              </w:rPr>
            </w:pPr>
          </w:p>
        </w:tc>
        <w:tc>
          <w:tcPr>
            <w:tcW w:w="1779" w:type="dxa"/>
            <w:vMerge w:val="continue"/>
            <w:tcBorders>
              <w:left w:val="single" w:color="auto" w:sz="4" w:space="0"/>
              <w:right w:val="single" w:color="auto" w:sz="4" w:space="0"/>
            </w:tcBorders>
            <w:shd w:val="clear" w:color="auto" w:fill="auto"/>
            <w:vAlign w:val="center"/>
          </w:tcPr>
          <w:p w14:paraId="3B0B4C4D">
            <w:pPr>
              <w:widowControl/>
              <w:spacing w:line="240" w:lineRule="auto"/>
              <w:ind w:firstLine="0" w:firstLineChars="0"/>
              <w:jc w:val="left"/>
              <w:rPr>
                <w:rFonts w:cs="宋体"/>
                <w:kern w:val="0"/>
                <w:sz w:val="20"/>
                <w:szCs w:val="20"/>
              </w:rPr>
            </w:pPr>
          </w:p>
        </w:tc>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14:paraId="1472BAB7">
            <w:pPr>
              <w:widowControl/>
              <w:spacing w:line="240" w:lineRule="auto"/>
              <w:ind w:firstLine="0" w:firstLineChars="0"/>
              <w:rPr>
                <w:rFonts w:cs="宋体"/>
                <w:kern w:val="0"/>
                <w:sz w:val="20"/>
                <w:szCs w:val="20"/>
              </w:rPr>
            </w:pPr>
            <w:r>
              <w:rPr>
                <w:rFonts w:hint="eastAsia" w:cs="宋体"/>
                <w:kern w:val="0"/>
                <w:sz w:val="20"/>
                <w:szCs w:val="20"/>
              </w:rPr>
              <w:t>工作人员出勤率</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F157785">
            <w:pPr>
              <w:widowControl/>
              <w:spacing w:line="240" w:lineRule="auto"/>
              <w:ind w:firstLine="0" w:firstLineChars="0"/>
              <w:jc w:val="center"/>
              <w:rPr>
                <w:rFonts w:cs="宋体"/>
                <w:kern w:val="0"/>
                <w:sz w:val="20"/>
                <w:szCs w:val="20"/>
              </w:rPr>
            </w:pPr>
            <w:r>
              <w:rPr>
                <w:rFonts w:hint="eastAsia" w:cs="宋体"/>
                <w:kern w:val="0"/>
                <w:sz w:val="20"/>
                <w:szCs w:val="20"/>
              </w:rPr>
              <w:t>100%</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14:paraId="3D075427">
            <w:pPr>
              <w:widowControl/>
              <w:spacing w:line="240" w:lineRule="auto"/>
              <w:ind w:firstLine="0" w:firstLineChars="0"/>
              <w:jc w:val="center"/>
              <w:rPr>
                <w:rFonts w:cs="宋体"/>
                <w:kern w:val="0"/>
                <w:sz w:val="20"/>
                <w:szCs w:val="20"/>
              </w:rPr>
            </w:pPr>
            <w:r>
              <w:rPr>
                <w:rFonts w:hint="eastAsia" w:cs="宋体"/>
                <w:kern w:val="0"/>
                <w:sz w:val="20"/>
                <w:szCs w:val="20"/>
              </w:rPr>
              <w:t>100%</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14:paraId="1489994E">
            <w:pPr>
              <w:widowControl/>
              <w:spacing w:line="240" w:lineRule="auto"/>
              <w:ind w:firstLine="0" w:firstLineChars="0"/>
              <w:jc w:val="center"/>
              <w:rPr>
                <w:rFonts w:cs="宋体"/>
                <w:kern w:val="0"/>
                <w:sz w:val="20"/>
                <w:szCs w:val="20"/>
              </w:rPr>
            </w:pPr>
            <w:r>
              <w:rPr>
                <w:rFonts w:hint="eastAsia" w:cs="宋体"/>
                <w:kern w:val="0"/>
                <w:sz w:val="20"/>
                <w:szCs w:val="20"/>
              </w:rPr>
              <w:t>3</w:t>
            </w:r>
          </w:p>
        </w:tc>
      </w:tr>
      <w:tr w14:paraId="75F9759B">
        <w:tblPrEx>
          <w:tblCellMar>
            <w:top w:w="0" w:type="dxa"/>
            <w:left w:w="108" w:type="dxa"/>
            <w:bottom w:w="0" w:type="dxa"/>
            <w:right w:w="108" w:type="dxa"/>
          </w:tblCellMar>
        </w:tblPrEx>
        <w:trPr>
          <w:trHeight w:val="711"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5F11D9">
            <w:pPr>
              <w:widowControl/>
              <w:spacing w:line="240" w:lineRule="auto"/>
              <w:ind w:firstLine="0" w:firstLineChars="0"/>
              <w:jc w:val="left"/>
              <w:rPr>
                <w:rFonts w:cs="宋体"/>
                <w:kern w:val="0"/>
                <w:sz w:val="20"/>
                <w:szCs w:val="20"/>
              </w:rPr>
            </w:pPr>
          </w:p>
        </w:tc>
        <w:tc>
          <w:tcPr>
            <w:tcW w:w="1779" w:type="dxa"/>
            <w:vMerge w:val="continue"/>
            <w:tcBorders>
              <w:left w:val="single" w:color="auto" w:sz="4" w:space="0"/>
              <w:bottom w:val="single" w:color="auto" w:sz="4" w:space="0"/>
              <w:right w:val="single" w:color="auto" w:sz="4" w:space="0"/>
            </w:tcBorders>
            <w:shd w:val="clear" w:color="auto" w:fill="auto"/>
            <w:vAlign w:val="center"/>
          </w:tcPr>
          <w:p w14:paraId="23DD1A45">
            <w:pPr>
              <w:widowControl/>
              <w:spacing w:line="240" w:lineRule="auto"/>
              <w:ind w:firstLine="0" w:firstLineChars="0"/>
              <w:jc w:val="left"/>
              <w:rPr>
                <w:rFonts w:cs="宋体"/>
                <w:kern w:val="0"/>
                <w:sz w:val="20"/>
                <w:szCs w:val="20"/>
              </w:rPr>
            </w:pPr>
          </w:p>
        </w:tc>
        <w:tc>
          <w:tcPr>
            <w:tcW w:w="2040" w:type="dxa"/>
            <w:tcBorders>
              <w:top w:val="single" w:color="auto" w:sz="4" w:space="0"/>
              <w:left w:val="nil"/>
              <w:bottom w:val="single" w:color="auto" w:sz="4" w:space="0"/>
              <w:right w:val="single" w:color="auto" w:sz="4" w:space="0"/>
            </w:tcBorders>
            <w:shd w:val="clear" w:color="auto" w:fill="auto"/>
            <w:vAlign w:val="center"/>
          </w:tcPr>
          <w:p w14:paraId="7E087984">
            <w:pPr>
              <w:widowControl/>
              <w:spacing w:line="240" w:lineRule="auto"/>
              <w:ind w:firstLine="0" w:firstLineChars="0"/>
              <w:rPr>
                <w:rFonts w:cs="宋体"/>
                <w:kern w:val="0"/>
                <w:sz w:val="20"/>
                <w:szCs w:val="20"/>
              </w:rPr>
            </w:pPr>
            <w:r>
              <w:rPr>
                <w:rFonts w:hint="eastAsia" w:cs="宋体"/>
                <w:kern w:val="0"/>
                <w:sz w:val="20"/>
                <w:szCs w:val="20"/>
              </w:rPr>
              <w:t>军运会排水设施疏捞、添置、维修数量</w:t>
            </w:r>
          </w:p>
        </w:tc>
        <w:tc>
          <w:tcPr>
            <w:tcW w:w="1418" w:type="dxa"/>
            <w:tcBorders>
              <w:top w:val="single" w:color="auto" w:sz="4" w:space="0"/>
              <w:left w:val="nil"/>
              <w:bottom w:val="single" w:color="auto" w:sz="4" w:space="0"/>
              <w:right w:val="single" w:color="auto" w:sz="4" w:space="0"/>
            </w:tcBorders>
            <w:shd w:val="clear" w:color="auto" w:fill="auto"/>
            <w:vAlign w:val="center"/>
          </w:tcPr>
          <w:p w14:paraId="7C1B60AF">
            <w:pPr>
              <w:widowControl/>
              <w:spacing w:line="240" w:lineRule="auto"/>
              <w:ind w:firstLine="0" w:firstLineChars="0"/>
              <w:jc w:val="center"/>
              <w:rPr>
                <w:rFonts w:cs="宋体"/>
                <w:kern w:val="0"/>
                <w:sz w:val="20"/>
                <w:szCs w:val="20"/>
              </w:rPr>
            </w:pPr>
            <w:r>
              <w:rPr>
                <w:rFonts w:hint="eastAsia" w:cs="宋体"/>
                <w:kern w:val="0"/>
                <w:sz w:val="20"/>
                <w:szCs w:val="20"/>
              </w:rPr>
              <w:t>≥5000处</w:t>
            </w:r>
          </w:p>
        </w:tc>
        <w:tc>
          <w:tcPr>
            <w:tcW w:w="916" w:type="dxa"/>
            <w:tcBorders>
              <w:top w:val="single" w:color="auto" w:sz="4" w:space="0"/>
              <w:left w:val="nil"/>
              <w:bottom w:val="single" w:color="auto" w:sz="4" w:space="0"/>
              <w:right w:val="single" w:color="auto" w:sz="4" w:space="0"/>
            </w:tcBorders>
            <w:shd w:val="clear" w:color="auto" w:fill="auto"/>
            <w:vAlign w:val="center"/>
          </w:tcPr>
          <w:p w14:paraId="1F91FAF0">
            <w:pPr>
              <w:widowControl/>
              <w:spacing w:line="240" w:lineRule="auto"/>
              <w:ind w:firstLine="0" w:firstLineChars="0"/>
              <w:jc w:val="center"/>
              <w:rPr>
                <w:rFonts w:cs="宋体"/>
                <w:kern w:val="0"/>
                <w:sz w:val="20"/>
                <w:szCs w:val="20"/>
              </w:rPr>
            </w:pPr>
            <w:r>
              <w:rPr>
                <w:rFonts w:hint="eastAsia" w:cs="宋体"/>
                <w:kern w:val="0"/>
                <w:sz w:val="20"/>
                <w:szCs w:val="20"/>
              </w:rPr>
              <w:t>5323处</w:t>
            </w:r>
          </w:p>
        </w:tc>
        <w:tc>
          <w:tcPr>
            <w:tcW w:w="1236" w:type="dxa"/>
            <w:tcBorders>
              <w:top w:val="single" w:color="auto" w:sz="4" w:space="0"/>
              <w:left w:val="nil"/>
              <w:bottom w:val="single" w:color="auto" w:sz="4" w:space="0"/>
              <w:right w:val="single" w:color="auto" w:sz="4" w:space="0"/>
            </w:tcBorders>
            <w:shd w:val="clear" w:color="auto" w:fill="auto"/>
            <w:vAlign w:val="center"/>
          </w:tcPr>
          <w:p w14:paraId="09F0801E">
            <w:pPr>
              <w:widowControl/>
              <w:spacing w:line="240" w:lineRule="auto"/>
              <w:ind w:firstLine="0" w:firstLineChars="0"/>
              <w:jc w:val="center"/>
              <w:rPr>
                <w:rFonts w:cs="宋体"/>
                <w:kern w:val="0"/>
                <w:sz w:val="20"/>
                <w:szCs w:val="20"/>
              </w:rPr>
            </w:pPr>
            <w:r>
              <w:rPr>
                <w:rFonts w:hint="eastAsia" w:cs="宋体"/>
                <w:kern w:val="0"/>
                <w:sz w:val="20"/>
                <w:szCs w:val="20"/>
              </w:rPr>
              <w:t>3</w:t>
            </w:r>
          </w:p>
        </w:tc>
      </w:tr>
      <w:tr w14:paraId="362C75B8">
        <w:tblPrEx>
          <w:tblCellMar>
            <w:top w:w="0" w:type="dxa"/>
            <w:left w:w="108" w:type="dxa"/>
            <w:bottom w:w="0" w:type="dxa"/>
            <w:right w:w="108" w:type="dxa"/>
          </w:tblCellMar>
        </w:tblPrEx>
        <w:trPr>
          <w:trHeight w:val="711" w:hRule="atLeast"/>
        </w:trPr>
        <w:tc>
          <w:tcPr>
            <w:tcW w:w="11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5CC224">
            <w:pPr>
              <w:widowControl/>
              <w:spacing w:line="240" w:lineRule="auto"/>
              <w:ind w:firstLine="0" w:firstLineChars="0"/>
              <w:jc w:val="left"/>
              <w:rPr>
                <w:rFonts w:cs="宋体"/>
                <w:kern w:val="0"/>
                <w:sz w:val="20"/>
                <w:szCs w:val="20"/>
              </w:rPr>
            </w:pPr>
            <w:r>
              <w:rPr>
                <w:rFonts w:hint="eastAsia" w:cs="宋体"/>
                <w:kern w:val="0"/>
                <w:sz w:val="20"/>
                <w:szCs w:val="20"/>
              </w:rPr>
              <w:t>产出指标（4</w:t>
            </w:r>
            <w:r>
              <w:rPr>
                <w:rFonts w:cs="宋体"/>
                <w:kern w:val="0"/>
                <w:sz w:val="20"/>
                <w:szCs w:val="20"/>
              </w:rPr>
              <w:t>0</w:t>
            </w:r>
            <w:r>
              <w:rPr>
                <w:rFonts w:hint="eastAsia" w:cs="宋体"/>
                <w:kern w:val="0"/>
                <w:sz w:val="20"/>
                <w:szCs w:val="20"/>
              </w:rPr>
              <w:t>分）</w:t>
            </w:r>
          </w:p>
        </w:tc>
        <w:tc>
          <w:tcPr>
            <w:tcW w:w="17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AC29D7">
            <w:pPr>
              <w:widowControl/>
              <w:spacing w:line="240" w:lineRule="auto"/>
              <w:ind w:firstLine="0" w:firstLineChars="0"/>
              <w:jc w:val="left"/>
              <w:rPr>
                <w:rFonts w:cs="宋体"/>
                <w:kern w:val="0"/>
                <w:sz w:val="20"/>
                <w:szCs w:val="20"/>
              </w:rPr>
            </w:pPr>
            <w:r>
              <w:rPr>
                <w:rFonts w:hint="eastAsia" w:cs="宋体"/>
                <w:kern w:val="0"/>
                <w:sz w:val="20"/>
                <w:szCs w:val="20"/>
              </w:rPr>
              <w:t>质量指标</w:t>
            </w:r>
          </w:p>
        </w:tc>
        <w:tc>
          <w:tcPr>
            <w:tcW w:w="2040" w:type="dxa"/>
            <w:tcBorders>
              <w:top w:val="single" w:color="auto" w:sz="4" w:space="0"/>
              <w:left w:val="nil"/>
              <w:bottom w:val="single" w:color="auto" w:sz="4" w:space="0"/>
              <w:right w:val="single" w:color="auto" w:sz="4" w:space="0"/>
            </w:tcBorders>
            <w:shd w:val="clear" w:color="auto" w:fill="auto"/>
            <w:vAlign w:val="center"/>
          </w:tcPr>
          <w:p w14:paraId="01334AB9">
            <w:pPr>
              <w:widowControl/>
              <w:spacing w:line="240" w:lineRule="auto"/>
              <w:ind w:firstLine="0" w:firstLineChars="0"/>
              <w:rPr>
                <w:rFonts w:cs="宋体"/>
                <w:kern w:val="0"/>
                <w:sz w:val="20"/>
                <w:szCs w:val="20"/>
              </w:rPr>
            </w:pPr>
            <w:r>
              <w:rPr>
                <w:rFonts w:hint="eastAsia" w:cs="宋体"/>
                <w:kern w:val="0"/>
                <w:sz w:val="20"/>
                <w:szCs w:val="20"/>
              </w:rPr>
              <w:t>井盖座添置质量合格率</w:t>
            </w:r>
          </w:p>
        </w:tc>
        <w:tc>
          <w:tcPr>
            <w:tcW w:w="1418" w:type="dxa"/>
            <w:tcBorders>
              <w:top w:val="single" w:color="auto" w:sz="4" w:space="0"/>
              <w:left w:val="nil"/>
              <w:bottom w:val="single" w:color="auto" w:sz="4" w:space="0"/>
              <w:right w:val="single" w:color="auto" w:sz="4" w:space="0"/>
            </w:tcBorders>
            <w:shd w:val="clear" w:color="auto" w:fill="auto"/>
            <w:vAlign w:val="center"/>
          </w:tcPr>
          <w:p w14:paraId="4D530211">
            <w:pPr>
              <w:widowControl/>
              <w:spacing w:line="240" w:lineRule="auto"/>
              <w:ind w:firstLine="0" w:firstLineChars="0"/>
              <w:jc w:val="center"/>
              <w:rPr>
                <w:rFonts w:cs="宋体"/>
                <w:kern w:val="0"/>
                <w:sz w:val="20"/>
                <w:szCs w:val="20"/>
              </w:rPr>
            </w:pPr>
            <w:r>
              <w:rPr>
                <w:rFonts w:hint="eastAsia" w:cs="宋体"/>
                <w:kern w:val="0"/>
                <w:sz w:val="20"/>
                <w:szCs w:val="20"/>
              </w:rPr>
              <w:t>100%</w:t>
            </w:r>
          </w:p>
        </w:tc>
        <w:tc>
          <w:tcPr>
            <w:tcW w:w="916" w:type="dxa"/>
            <w:tcBorders>
              <w:top w:val="single" w:color="auto" w:sz="4" w:space="0"/>
              <w:left w:val="nil"/>
              <w:bottom w:val="single" w:color="auto" w:sz="4" w:space="0"/>
              <w:right w:val="single" w:color="auto" w:sz="4" w:space="0"/>
            </w:tcBorders>
            <w:shd w:val="clear" w:color="auto" w:fill="auto"/>
            <w:vAlign w:val="center"/>
          </w:tcPr>
          <w:p w14:paraId="0A2853AD">
            <w:pPr>
              <w:widowControl/>
              <w:spacing w:line="240" w:lineRule="auto"/>
              <w:ind w:firstLine="0" w:firstLineChars="0"/>
              <w:jc w:val="center"/>
              <w:rPr>
                <w:rFonts w:cs="宋体"/>
                <w:kern w:val="0"/>
                <w:sz w:val="20"/>
                <w:szCs w:val="20"/>
              </w:rPr>
            </w:pPr>
            <w:r>
              <w:rPr>
                <w:rFonts w:hint="eastAsia" w:cs="宋体"/>
                <w:kern w:val="0"/>
                <w:sz w:val="20"/>
                <w:szCs w:val="20"/>
              </w:rPr>
              <w:t>100%</w:t>
            </w:r>
          </w:p>
        </w:tc>
        <w:tc>
          <w:tcPr>
            <w:tcW w:w="1236" w:type="dxa"/>
            <w:tcBorders>
              <w:top w:val="single" w:color="auto" w:sz="4" w:space="0"/>
              <w:left w:val="nil"/>
              <w:bottom w:val="single" w:color="auto" w:sz="4" w:space="0"/>
              <w:right w:val="single" w:color="auto" w:sz="4" w:space="0"/>
            </w:tcBorders>
            <w:shd w:val="clear" w:color="auto" w:fill="auto"/>
            <w:vAlign w:val="center"/>
          </w:tcPr>
          <w:p w14:paraId="06555424">
            <w:pPr>
              <w:widowControl/>
              <w:spacing w:line="240" w:lineRule="auto"/>
              <w:ind w:firstLine="0" w:firstLineChars="0"/>
              <w:jc w:val="center"/>
              <w:rPr>
                <w:rFonts w:cs="宋体"/>
                <w:kern w:val="0"/>
                <w:sz w:val="20"/>
                <w:szCs w:val="20"/>
              </w:rPr>
            </w:pPr>
            <w:r>
              <w:rPr>
                <w:rFonts w:hint="eastAsia" w:cs="宋体"/>
                <w:kern w:val="0"/>
                <w:sz w:val="20"/>
                <w:szCs w:val="20"/>
              </w:rPr>
              <w:t>3</w:t>
            </w:r>
          </w:p>
        </w:tc>
      </w:tr>
      <w:tr w14:paraId="6C4612FA">
        <w:tblPrEx>
          <w:tblCellMar>
            <w:top w:w="0" w:type="dxa"/>
            <w:left w:w="108" w:type="dxa"/>
            <w:bottom w:w="0" w:type="dxa"/>
            <w:right w:w="108" w:type="dxa"/>
          </w:tblCellMar>
        </w:tblPrEx>
        <w:trPr>
          <w:trHeight w:val="711"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F991A7">
            <w:pPr>
              <w:widowControl/>
              <w:spacing w:line="240" w:lineRule="auto"/>
              <w:ind w:firstLine="0" w:firstLineChars="0"/>
              <w:jc w:val="left"/>
              <w:rPr>
                <w:rFonts w:cs="宋体"/>
                <w:kern w:val="0"/>
                <w:sz w:val="20"/>
                <w:szCs w:val="20"/>
              </w:rPr>
            </w:pPr>
          </w:p>
        </w:tc>
        <w:tc>
          <w:tcPr>
            <w:tcW w:w="1779" w:type="dxa"/>
            <w:vMerge w:val="continue"/>
            <w:tcBorders>
              <w:top w:val="single" w:color="auto" w:sz="4" w:space="0"/>
              <w:left w:val="single" w:color="auto" w:sz="4" w:space="0"/>
              <w:right w:val="single" w:color="auto" w:sz="4" w:space="0"/>
            </w:tcBorders>
            <w:shd w:val="clear" w:color="auto" w:fill="auto"/>
            <w:vAlign w:val="center"/>
          </w:tcPr>
          <w:p w14:paraId="24DEE9FB">
            <w:pPr>
              <w:widowControl/>
              <w:spacing w:line="240" w:lineRule="auto"/>
              <w:ind w:firstLine="0" w:firstLineChars="0"/>
              <w:jc w:val="left"/>
              <w:rPr>
                <w:rFonts w:cs="宋体"/>
                <w:kern w:val="0"/>
                <w:sz w:val="20"/>
                <w:szCs w:val="20"/>
              </w:rPr>
            </w:pPr>
          </w:p>
        </w:tc>
        <w:tc>
          <w:tcPr>
            <w:tcW w:w="2040" w:type="dxa"/>
            <w:tcBorders>
              <w:top w:val="single" w:color="auto" w:sz="4" w:space="0"/>
              <w:left w:val="nil"/>
              <w:bottom w:val="single" w:color="auto" w:sz="4" w:space="0"/>
              <w:right w:val="single" w:color="auto" w:sz="4" w:space="0"/>
            </w:tcBorders>
            <w:shd w:val="clear" w:color="auto" w:fill="auto"/>
            <w:vAlign w:val="center"/>
          </w:tcPr>
          <w:p w14:paraId="4C087C1B">
            <w:pPr>
              <w:widowControl/>
              <w:spacing w:line="240" w:lineRule="auto"/>
              <w:ind w:firstLine="0" w:firstLineChars="0"/>
              <w:rPr>
                <w:rFonts w:cs="宋体"/>
                <w:kern w:val="0"/>
                <w:sz w:val="20"/>
                <w:szCs w:val="20"/>
              </w:rPr>
            </w:pPr>
            <w:r>
              <w:rPr>
                <w:rFonts w:hint="eastAsia" w:cs="宋体"/>
                <w:kern w:val="0"/>
                <w:sz w:val="20"/>
                <w:szCs w:val="20"/>
              </w:rPr>
              <w:t>泵站机电设备启动率</w:t>
            </w:r>
          </w:p>
        </w:tc>
        <w:tc>
          <w:tcPr>
            <w:tcW w:w="1418" w:type="dxa"/>
            <w:tcBorders>
              <w:top w:val="single" w:color="auto" w:sz="4" w:space="0"/>
              <w:left w:val="nil"/>
              <w:bottom w:val="single" w:color="auto" w:sz="4" w:space="0"/>
              <w:right w:val="single" w:color="auto" w:sz="4" w:space="0"/>
            </w:tcBorders>
            <w:shd w:val="clear" w:color="auto" w:fill="auto"/>
            <w:vAlign w:val="center"/>
          </w:tcPr>
          <w:p w14:paraId="48D08847">
            <w:pPr>
              <w:widowControl/>
              <w:spacing w:line="240" w:lineRule="auto"/>
              <w:ind w:firstLine="0" w:firstLineChars="0"/>
              <w:jc w:val="center"/>
              <w:rPr>
                <w:rFonts w:cs="宋体"/>
                <w:kern w:val="0"/>
                <w:sz w:val="20"/>
                <w:szCs w:val="20"/>
              </w:rPr>
            </w:pPr>
            <w:r>
              <w:rPr>
                <w:rFonts w:hint="eastAsia" w:cs="宋体"/>
                <w:kern w:val="0"/>
                <w:sz w:val="20"/>
                <w:szCs w:val="20"/>
              </w:rPr>
              <w:t>100%</w:t>
            </w:r>
          </w:p>
        </w:tc>
        <w:tc>
          <w:tcPr>
            <w:tcW w:w="916" w:type="dxa"/>
            <w:tcBorders>
              <w:top w:val="single" w:color="auto" w:sz="4" w:space="0"/>
              <w:left w:val="nil"/>
              <w:bottom w:val="single" w:color="auto" w:sz="4" w:space="0"/>
              <w:right w:val="single" w:color="auto" w:sz="4" w:space="0"/>
            </w:tcBorders>
            <w:shd w:val="clear" w:color="auto" w:fill="auto"/>
            <w:vAlign w:val="center"/>
          </w:tcPr>
          <w:p w14:paraId="458CA34B">
            <w:pPr>
              <w:widowControl/>
              <w:spacing w:line="240" w:lineRule="auto"/>
              <w:ind w:firstLine="0" w:firstLineChars="0"/>
              <w:jc w:val="center"/>
              <w:rPr>
                <w:rFonts w:cs="宋体"/>
                <w:kern w:val="0"/>
                <w:sz w:val="20"/>
                <w:szCs w:val="20"/>
              </w:rPr>
            </w:pPr>
            <w:r>
              <w:rPr>
                <w:rFonts w:hint="eastAsia" w:cs="宋体"/>
                <w:kern w:val="0"/>
                <w:sz w:val="20"/>
                <w:szCs w:val="20"/>
              </w:rPr>
              <w:t>100%</w:t>
            </w:r>
          </w:p>
        </w:tc>
        <w:tc>
          <w:tcPr>
            <w:tcW w:w="1236" w:type="dxa"/>
            <w:tcBorders>
              <w:top w:val="single" w:color="auto" w:sz="4" w:space="0"/>
              <w:left w:val="nil"/>
              <w:bottom w:val="single" w:color="auto" w:sz="4" w:space="0"/>
              <w:right w:val="single" w:color="auto" w:sz="4" w:space="0"/>
            </w:tcBorders>
            <w:shd w:val="clear" w:color="auto" w:fill="auto"/>
            <w:vAlign w:val="center"/>
          </w:tcPr>
          <w:p w14:paraId="5C305942">
            <w:pPr>
              <w:widowControl/>
              <w:spacing w:line="240" w:lineRule="auto"/>
              <w:ind w:firstLine="0" w:firstLineChars="0"/>
              <w:jc w:val="center"/>
              <w:rPr>
                <w:rFonts w:cs="宋体"/>
                <w:kern w:val="0"/>
                <w:sz w:val="20"/>
                <w:szCs w:val="20"/>
              </w:rPr>
            </w:pPr>
            <w:r>
              <w:rPr>
                <w:rFonts w:hint="eastAsia" w:cs="宋体"/>
                <w:kern w:val="0"/>
                <w:sz w:val="20"/>
                <w:szCs w:val="20"/>
              </w:rPr>
              <w:t>3</w:t>
            </w:r>
          </w:p>
        </w:tc>
      </w:tr>
      <w:tr w14:paraId="5BD0643B">
        <w:tblPrEx>
          <w:tblCellMar>
            <w:top w:w="0" w:type="dxa"/>
            <w:left w:w="108" w:type="dxa"/>
            <w:bottom w:w="0" w:type="dxa"/>
            <w:right w:w="108" w:type="dxa"/>
          </w:tblCellMar>
        </w:tblPrEx>
        <w:trPr>
          <w:trHeight w:val="711"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574647">
            <w:pPr>
              <w:widowControl/>
              <w:spacing w:line="240" w:lineRule="auto"/>
              <w:ind w:firstLine="0" w:firstLineChars="0"/>
              <w:jc w:val="left"/>
              <w:rPr>
                <w:rFonts w:cs="宋体"/>
                <w:kern w:val="0"/>
                <w:sz w:val="20"/>
                <w:szCs w:val="20"/>
              </w:rPr>
            </w:pPr>
          </w:p>
        </w:tc>
        <w:tc>
          <w:tcPr>
            <w:tcW w:w="1779" w:type="dxa"/>
            <w:vMerge w:val="continue"/>
            <w:tcBorders>
              <w:left w:val="single" w:color="auto" w:sz="4" w:space="0"/>
              <w:bottom w:val="single" w:color="auto" w:sz="4" w:space="0"/>
              <w:right w:val="single" w:color="auto" w:sz="4" w:space="0"/>
            </w:tcBorders>
            <w:shd w:val="clear" w:color="auto" w:fill="auto"/>
            <w:vAlign w:val="center"/>
          </w:tcPr>
          <w:p w14:paraId="725C89FC">
            <w:pPr>
              <w:widowControl/>
              <w:spacing w:line="240" w:lineRule="auto"/>
              <w:ind w:firstLine="0" w:firstLineChars="0"/>
              <w:jc w:val="left"/>
              <w:rPr>
                <w:rFonts w:cs="宋体"/>
                <w:kern w:val="0"/>
                <w:sz w:val="20"/>
                <w:szCs w:val="20"/>
              </w:rPr>
            </w:pPr>
          </w:p>
        </w:tc>
        <w:tc>
          <w:tcPr>
            <w:tcW w:w="2040" w:type="dxa"/>
            <w:tcBorders>
              <w:top w:val="nil"/>
              <w:left w:val="nil"/>
              <w:bottom w:val="single" w:color="auto" w:sz="4" w:space="0"/>
              <w:right w:val="single" w:color="auto" w:sz="4" w:space="0"/>
            </w:tcBorders>
            <w:shd w:val="clear" w:color="auto" w:fill="auto"/>
            <w:vAlign w:val="center"/>
          </w:tcPr>
          <w:p w14:paraId="433F3E24">
            <w:pPr>
              <w:widowControl/>
              <w:spacing w:line="240" w:lineRule="auto"/>
              <w:ind w:firstLine="0" w:firstLineChars="0"/>
              <w:rPr>
                <w:rFonts w:cs="宋体"/>
                <w:kern w:val="0"/>
                <w:sz w:val="20"/>
                <w:szCs w:val="20"/>
              </w:rPr>
            </w:pPr>
            <w:r>
              <w:rPr>
                <w:rFonts w:hint="eastAsia" w:cs="宋体"/>
                <w:kern w:val="0"/>
                <w:sz w:val="20"/>
                <w:szCs w:val="20"/>
              </w:rPr>
              <w:t>排水日常维护工作质量达标率</w:t>
            </w:r>
          </w:p>
        </w:tc>
        <w:tc>
          <w:tcPr>
            <w:tcW w:w="1418" w:type="dxa"/>
            <w:tcBorders>
              <w:top w:val="nil"/>
              <w:left w:val="nil"/>
              <w:bottom w:val="single" w:color="auto" w:sz="4" w:space="0"/>
              <w:right w:val="single" w:color="auto" w:sz="4" w:space="0"/>
            </w:tcBorders>
            <w:shd w:val="clear" w:color="auto" w:fill="auto"/>
            <w:vAlign w:val="center"/>
          </w:tcPr>
          <w:p w14:paraId="6AD228F8">
            <w:pPr>
              <w:widowControl/>
              <w:spacing w:line="240" w:lineRule="auto"/>
              <w:ind w:firstLine="0" w:firstLineChars="0"/>
              <w:jc w:val="center"/>
              <w:rPr>
                <w:rFonts w:cs="宋体"/>
                <w:kern w:val="0"/>
                <w:sz w:val="20"/>
                <w:szCs w:val="20"/>
              </w:rPr>
            </w:pPr>
            <w:r>
              <w:rPr>
                <w:rFonts w:hint="eastAsia" w:cs="宋体"/>
                <w:kern w:val="0"/>
                <w:sz w:val="20"/>
                <w:szCs w:val="20"/>
              </w:rPr>
              <w:t>≥95%</w:t>
            </w:r>
          </w:p>
        </w:tc>
        <w:tc>
          <w:tcPr>
            <w:tcW w:w="916" w:type="dxa"/>
            <w:tcBorders>
              <w:top w:val="nil"/>
              <w:left w:val="nil"/>
              <w:bottom w:val="single" w:color="auto" w:sz="4" w:space="0"/>
              <w:right w:val="single" w:color="auto" w:sz="4" w:space="0"/>
            </w:tcBorders>
            <w:shd w:val="clear" w:color="auto" w:fill="auto"/>
            <w:vAlign w:val="center"/>
          </w:tcPr>
          <w:p w14:paraId="7F0065CD">
            <w:pPr>
              <w:widowControl/>
              <w:spacing w:line="240" w:lineRule="auto"/>
              <w:ind w:firstLine="0" w:firstLineChars="0"/>
              <w:jc w:val="center"/>
              <w:rPr>
                <w:rFonts w:cs="宋体"/>
                <w:kern w:val="0"/>
                <w:sz w:val="20"/>
                <w:szCs w:val="20"/>
              </w:rPr>
            </w:pPr>
            <w:r>
              <w:rPr>
                <w:rFonts w:hint="eastAsia" w:cs="宋体"/>
                <w:kern w:val="0"/>
                <w:sz w:val="20"/>
                <w:szCs w:val="20"/>
              </w:rPr>
              <w:t>91.67%</w:t>
            </w:r>
          </w:p>
        </w:tc>
        <w:tc>
          <w:tcPr>
            <w:tcW w:w="1236" w:type="dxa"/>
            <w:tcBorders>
              <w:top w:val="nil"/>
              <w:left w:val="nil"/>
              <w:bottom w:val="single" w:color="auto" w:sz="4" w:space="0"/>
              <w:right w:val="single" w:color="auto" w:sz="4" w:space="0"/>
            </w:tcBorders>
            <w:shd w:val="clear" w:color="auto" w:fill="auto"/>
            <w:vAlign w:val="center"/>
          </w:tcPr>
          <w:p w14:paraId="1D82B3F0">
            <w:pPr>
              <w:widowControl/>
              <w:spacing w:line="240" w:lineRule="auto"/>
              <w:ind w:firstLine="0" w:firstLineChars="0"/>
              <w:jc w:val="center"/>
              <w:rPr>
                <w:rFonts w:cs="宋体"/>
                <w:kern w:val="0"/>
                <w:sz w:val="20"/>
                <w:szCs w:val="20"/>
              </w:rPr>
            </w:pPr>
            <w:r>
              <w:rPr>
                <w:rFonts w:cs="宋体"/>
                <w:kern w:val="0"/>
                <w:sz w:val="20"/>
                <w:szCs w:val="20"/>
              </w:rPr>
              <w:t>2</w:t>
            </w:r>
          </w:p>
        </w:tc>
      </w:tr>
      <w:tr w14:paraId="33C8C72C">
        <w:tblPrEx>
          <w:tblCellMar>
            <w:top w:w="0" w:type="dxa"/>
            <w:left w:w="108" w:type="dxa"/>
            <w:bottom w:w="0" w:type="dxa"/>
            <w:right w:w="108" w:type="dxa"/>
          </w:tblCellMar>
        </w:tblPrEx>
        <w:trPr>
          <w:trHeight w:val="452" w:hRule="atLeast"/>
        </w:trPr>
        <w:tc>
          <w:tcPr>
            <w:tcW w:w="1133" w:type="dxa"/>
            <w:vMerge w:val="restart"/>
            <w:tcBorders>
              <w:top w:val="single" w:color="auto" w:sz="4" w:space="0"/>
              <w:left w:val="single" w:color="auto" w:sz="4" w:space="0"/>
              <w:right w:val="single" w:color="auto" w:sz="4" w:space="0"/>
            </w:tcBorders>
            <w:shd w:val="clear" w:color="auto" w:fill="auto"/>
            <w:vAlign w:val="center"/>
          </w:tcPr>
          <w:p w14:paraId="3114C3D5">
            <w:pPr>
              <w:spacing w:line="240" w:lineRule="auto"/>
              <w:ind w:firstLine="0" w:firstLineChars="0"/>
              <w:jc w:val="left"/>
              <w:rPr>
                <w:rFonts w:cs="宋体"/>
                <w:kern w:val="0"/>
                <w:sz w:val="20"/>
                <w:szCs w:val="20"/>
              </w:rPr>
            </w:pPr>
            <w:r>
              <w:rPr>
                <w:rFonts w:hint="eastAsia" w:cs="宋体"/>
                <w:kern w:val="0"/>
                <w:sz w:val="20"/>
                <w:szCs w:val="20"/>
              </w:rPr>
              <w:t>效益指标（4</w:t>
            </w:r>
            <w:r>
              <w:rPr>
                <w:rFonts w:cs="宋体"/>
                <w:kern w:val="0"/>
                <w:sz w:val="20"/>
                <w:szCs w:val="20"/>
              </w:rPr>
              <w:t>0</w:t>
            </w:r>
            <w:r>
              <w:rPr>
                <w:rFonts w:hint="eastAsia" w:cs="宋体"/>
                <w:kern w:val="0"/>
                <w:sz w:val="20"/>
                <w:szCs w:val="20"/>
              </w:rPr>
              <w:t>分）</w:t>
            </w:r>
          </w:p>
        </w:tc>
        <w:tc>
          <w:tcPr>
            <w:tcW w:w="1779" w:type="dxa"/>
            <w:tcBorders>
              <w:top w:val="single" w:color="auto" w:sz="4" w:space="0"/>
              <w:left w:val="nil"/>
              <w:bottom w:val="single" w:color="auto" w:sz="4" w:space="0"/>
              <w:right w:val="single" w:color="auto" w:sz="4" w:space="0"/>
            </w:tcBorders>
            <w:shd w:val="clear" w:color="auto" w:fill="auto"/>
          </w:tcPr>
          <w:p w14:paraId="064DD650">
            <w:pPr>
              <w:widowControl/>
              <w:spacing w:line="240" w:lineRule="auto"/>
              <w:ind w:firstLine="0" w:firstLineChars="0"/>
              <w:jc w:val="left"/>
              <w:rPr>
                <w:rFonts w:cs="宋体"/>
                <w:kern w:val="0"/>
                <w:sz w:val="20"/>
                <w:szCs w:val="20"/>
              </w:rPr>
            </w:pPr>
            <w:r>
              <w:rPr>
                <w:rFonts w:hint="eastAsia" w:cs="宋体"/>
                <w:kern w:val="0"/>
                <w:sz w:val="20"/>
                <w:szCs w:val="20"/>
              </w:rPr>
              <w:t>社会效益</w:t>
            </w:r>
          </w:p>
        </w:tc>
        <w:tc>
          <w:tcPr>
            <w:tcW w:w="2040" w:type="dxa"/>
            <w:tcBorders>
              <w:top w:val="single" w:color="auto" w:sz="4" w:space="0"/>
              <w:left w:val="nil"/>
              <w:bottom w:val="single" w:color="auto" w:sz="4" w:space="0"/>
              <w:right w:val="single" w:color="auto" w:sz="4" w:space="0"/>
            </w:tcBorders>
            <w:shd w:val="clear" w:color="auto" w:fill="auto"/>
            <w:vAlign w:val="center"/>
          </w:tcPr>
          <w:p w14:paraId="46A867D3">
            <w:pPr>
              <w:widowControl/>
              <w:spacing w:line="240" w:lineRule="auto"/>
              <w:ind w:firstLine="0" w:firstLineChars="0"/>
              <w:rPr>
                <w:rFonts w:cs="宋体"/>
                <w:kern w:val="0"/>
                <w:sz w:val="20"/>
                <w:szCs w:val="20"/>
              </w:rPr>
            </w:pPr>
            <w:r>
              <w:rPr>
                <w:rFonts w:hint="eastAsia" w:cs="宋体"/>
                <w:kern w:val="0"/>
                <w:sz w:val="20"/>
                <w:szCs w:val="20"/>
              </w:rPr>
              <w:t>提高群众出行舒适度</w:t>
            </w:r>
          </w:p>
        </w:tc>
        <w:tc>
          <w:tcPr>
            <w:tcW w:w="1418" w:type="dxa"/>
            <w:tcBorders>
              <w:top w:val="single" w:color="auto" w:sz="4" w:space="0"/>
              <w:left w:val="nil"/>
              <w:bottom w:val="single" w:color="auto" w:sz="4" w:space="0"/>
              <w:right w:val="single" w:color="auto" w:sz="4" w:space="0"/>
            </w:tcBorders>
            <w:shd w:val="clear" w:color="auto" w:fill="auto"/>
            <w:vAlign w:val="center"/>
          </w:tcPr>
          <w:p w14:paraId="37F066FF">
            <w:pPr>
              <w:widowControl/>
              <w:spacing w:line="240" w:lineRule="auto"/>
              <w:ind w:firstLine="0" w:firstLineChars="0"/>
              <w:jc w:val="center"/>
              <w:rPr>
                <w:rFonts w:cs="宋体"/>
                <w:kern w:val="0"/>
                <w:sz w:val="20"/>
                <w:szCs w:val="20"/>
              </w:rPr>
            </w:pPr>
            <w:r>
              <w:rPr>
                <w:rFonts w:hint="eastAsia" w:cs="宋体"/>
                <w:kern w:val="0"/>
                <w:sz w:val="20"/>
                <w:szCs w:val="20"/>
              </w:rPr>
              <w:t>≥90%</w:t>
            </w:r>
          </w:p>
        </w:tc>
        <w:tc>
          <w:tcPr>
            <w:tcW w:w="916" w:type="dxa"/>
            <w:tcBorders>
              <w:top w:val="single" w:color="auto" w:sz="4" w:space="0"/>
              <w:left w:val="nil"/>
              <w:bottom w:val="single" w:color="auto" w:sz="4" w:space="0"/>
              <w:right w:val="single" w:color="auto" w:sz="4" w:space="0"/>
            </w:tcBorders>
            <w:shd w:val="clear" w:color="auto" w:fill="auto"/>
            <w:vAlign w:val="center"/>
          </w:tcPr>
          <w:p w14:paraId="16F7CFEE">
            <w:pPr>
              <w:widowControl/>
              <w:spacing w:line="240" w:lineRule="auto"/>
              <w:ind w:firstLine="0" w:firstLineChars="0"/>
              <w:jc w:val="center"/>
              <w:rPr>
                <w:rFonts w:cs="宋体"/>
                <w:kern w:val="0"/>
                <w:sz w:val="20"/>
                <w:szCs w:val="20"/>
              </w:rPr>
            </w:pPr>
            <w:r>
              <w:rPr>
                <w:rFonts w:hint="eastAsia" w:cs="宋体"/>
                <w:kern w:val="0"/>
                <w:sz w:val="20"/>
                <w:szCs w:val="20"/>
              </w:rPr>
              <w:t>100%</w:t>
            </w:r>
          </w:p>
        </w:tc>
        <w:tc>
          <w:tcPr>
            <w:tcW w:w="1236" w:type="dxa"/>
            <w:tcBorders>
              <w:top w:val="single" w:color="auto" w:sz="4" w:space="0"/>
              <w:left w:val="nil"/>
              <w:bottom w:val="single" w:color="auto" w:sz="4" w:space="0"/>
              <w:right w:val="single" w:color="auto" w:sz="4" w:space="0"/>
            </w:tcBorders>
            <w:shd w:val="clear" w:color="auto" w:fill="auto"/>
            <w:vAlign w:val="center"/>
          </w:tcPr>
          <w:p w14:paraId="5348A0AD">
            <w:pPr>
              <w:widowControl/>
              <w:spacing w:line="240" w:lineRule="auto"/>
              <w:ind w:firstLine="0" w:firstLineChars="0"/>
              <w:jc w:val="center"/>
              <w:rPr>
                <w:rFonts w:cs="宋体"/>
                <w:kern w:val="0"/>
                <w:sz w:val="20"/>
                <w:szCs w:val="20"/>
              </w:rPr>
            </w:pPr>
            <w:r>
              <w:rPr>
                <w:rFonts w:cs="宋体"/>
                <w:kern w:val="0"/>
                <w:sz w:val="20"/>
                <w:szCs w:val="20"/>
              </w:rPr>
              <w:t>8</w:t>
            </w:r>
          </w:p>
        </w:tc>
      </w:tr>
      <w:tr w14:paraId="366D7530">
        <w:tblPrEx>
          <w:tblCellMar>
            <w:top w:w="0" w:type="dxa"/>
            <w:left w:w="108" w:type="dxa"/>
            <w:bottom w:w="0" w:type="dxa"/>
            <w:right w:w="108" w:type="dxa"/>
          </w:tblCellMar>
        </w:tblPrEx>
        <w:trPr>
          <w:trHeight w:val="317" w:hRule="atLeast"/>
        </w:trPr>
        <w:tc>
          <w:tcPr>
            <w:tcW w:w="1133" w:type="dxa"/>
            <w:vMerge w:val="continue"/>
            <w:tcBorders>
              <w:left w:val="single" w:color="auto" w:sz="4" w:space="0"/>
              <w:right w:val="single" w:color="auto" w:sz="4" w:space="0"/>
            </w:tcBorders>
            <w:shd w:val="clear" w:color="auto" w:fill="auto"/>
            <w:vAlign w:val="center"/>
          </w:tcPr>
          <w:p w14:paraId="7D6DF716">
            <w:pPr>
              <w:widowControl/>
              <w:spacing w:line="240" w:lineRule="auto"/>
              <w:ind w:firstLine="0" w:firstLineChars="0"/>
              <w:jc w:val="left"/>
              <w:rPr>
                <w:rFonts w:cs="宋体"/>
                <w:kern w:val="0"/>
                <w:sz w:val="20"/>
                <w:szCs w:val="20"/>
              </w:rPr>
            </w:pPr>
          </w:p>
        </w:tc>
        <w:tc>
          <w:tcPr>
            <w:tcW w:w="1779" w:type="dxa"/>
            <w:tcBorders>
              <w:top w:val="single" w:color="auto" w:sz="4" w:space="0"/>
              <w:left w:val="single" w:color="auto" w:sz="4" w:space="0"/>
              <w:bottom w:val="single" w:color="auto" w:sz="4" w:space="0"/>
              <w:right w:val="single" w:color="auto" w:sz="4" w:space="0"/>
            </w:tcBorders>
            <w:shd w:val="clear" w:color="auto" w:fill="auto"/>
          </w:tcPr>
          <w:p w14:paraId="6F650E67">
            <w:pPr>
              <w:widowControl/>
              <w:spacing w:line="240" w:lineRule="auto"/>
              <w:ind w:firstLine="0" w:firstLineChars="0"/>
              <w:jc w:val="left"/>
              <w:rPr>
                <w:rFonts w:cs="宋体"/>
                <w:kern w:val="0"/>
                <w:sz w:val="20"/>
                <w:szCs w:val="20"/>
              </w:rPr>
            </w:pPr>
            <w:r>
              <w:rPr>
                <w:rFonts w:hint="eastAsia" w:cs="宋体"/>
                <w:kern w:val="0"/>
                <w:sz w:val="20"/>
                <w:szCs w:val="20"/>
              </w:rPr>
              <w:t>可持续性影响</w:t>
            </w:r>
          </w:p>
        </w:tc>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14:paraId="228899C0">
            <w:pPr>
              <w:widowControl/>
              <w:spacing w:line="240" w:lineRule="auto"/>
              <w:ind w:firstLine="0" w:firstLineChars="0"/>
              <w:rPr>
                <w:rFonts w:cs="宋体"/>
                <w:kern w:val="0"/>
                <w:sz w:val="20"/>
                <w:szCs w:val="20"/>
              </w:rPr>
            </w:pPr>
            <w:r>
              <w:rPr>
                <w:rFonts w:hint="eastAsia" w:cs="宋体"/>
                <w:kern w:val="0"/>
                <w:sz w:val="20"/>
                <w:szCs w:val="20"/>
              </w:rPr>
              <w:t>可持续性影响</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5E13DCD">
            <w:pPr>
              <w:widowControl/>
              <w:spacing w:line="240" w:lineRule="auto"/>
              <w:ind w:firstLine="0" w:firstLineChars="0"/>
              <w:jc w:val="center"/>
              <w:rPr>
                <w:rFonts w:cs="宋体"/>
                <w:kern w:val="0"/>
                <w:sz w:val="20"/>
                <w:szCs w:val="20"/>
              </w:rPr>
            </w:pP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14:paraId="551CBE6F">
            <w:pPr>
              <w:widowControl/>
              <w:spacing w:line="240" w:lineRule="auto"/>
              <w:ind w:firstLine="0" w:firstLineChars="0"/>
              <w:jc w:val="center"/>
              <w:rPr>
                <w:rFonts w:cs="宋体"/>
                <w:kern w:val="0"/>
                <w:sz w:val="20"/>
                <w:szCs w:val="20"/>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14:paraId="137A7664">
            <w:pPr>
              <w:widowControl/>
              <w:spacing w:line="240" w:lineRule="auto"/>
              <w:ind w:firstLine="0" w:firstLineChars="0"/>
              <w:jc w:val="center"/>
              <w:rPr>
                <w:rFonts w:cs="宋体"/>
                <w:kern w:val="0"/>
                <w:sz w:val="20"/>
                <w:szCs w:val="20"/>
              </w:rPr>
            </w:pPr>
            <w:r>
              <w:rPr>
                <w:rFonts w:cs="宋体"/>
                <w:kern w:val="0"/>
                <w:sz w:val="20"/>
                <w:szCs w:val="20"/>
              </w:rPr>
              <w:t>7</w:t>
            </w:r>
          </w:p>
        </w:tc>
      </w:tr>
      <w:tr w14:paraId="0E50AC3B">
        <w:tblPrEx>
          <w:tblCellMar>
            <w:top w:w="0" w:type="dxa"/>
            <w:left w:w="108" w:type="dxa"/>
            <w:bottom w:w="0" w:type="dxa"/>
            <w:right w:w="108" w:type="dxa"/>
          </w:tblCellMar>
        </w:tblPrEx>
        <w:trPr>
          <w:trHeight w:val="317" w:hRule="atLeast"/>
        </w:trPr>
        <w:tc>
          <w:tcPr>
            <w:tcW w:w="1133" w:type="dxa"/>
            <w:vMerge w:val="continue"/>
            <w:tcBorders>
              <w:left w:val="single" w:color="auto" w:sz="4" w:space="0"/>
              <w:right w:val="single" w:color="auto" w:sz="4" w:space="0"/>
            </w:tcBorders>
            <w:shd w:val="clear" w:color="auto" w:fill="auto"/>
            <w:vAlign w:val="center"/>
          </w:tcPr>
          <w:p w14:paraId="6B5A2F4C">
            <w:pPr>
              <w:widowControl/>
              <w:spacing w:line="240" w:lineRule="auto"/>
              <w:ind w:firstLine="0" w:firstLineChars="0"/>
              <w:jc w:val="left"/>
              <w:rPr>
                <w:rFonts w:cs="宋体"/>
                <w:kern w:val="0"/>
                <w:sz w:val="20"/>
                <w:szCs w:val="20"/>
              </w:rPr>
            </w:pP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14:paraId="7149F9B3">
            <w:pPr>
              <w:widowControl/>
              <w:spacing w:line="240" w:lineRule="auto"/>
              <w:ind w:firstLine="0" w:firstLineChars="0"/>
              <w:rPr>
                <w:rFonts w:cs="宋体"/>
                <w:kern w:val="0"/>
                <w:sz w:val="20"/>
                <w:szCs w:val="20"/>
              </w:rPr>
            </w:pPr>
            <w:r>
              <w:rPr>
                <w:rFonts w:hint="eastAsia" w:cs="宋体"/>
                <w:kern w:val="0"/>
                <w:sz w:val="20"/>
                <w:szCs w:val="20"/>
              </w:rPr>
              <w:t>服务对象满意度</w:t>
            </w:r>
          </w:p>
        </w:tc>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14:paraId="78A2327D">
            <w:pPr>
              <w:widowControl/>
              <w:spacing w:line="240" w:lineRule="auto"/>
              <w:ind w:firstLine="0" w:firstLineChars="0"/>
              <w:rPr>
                <w:rFonts w:cs="宋体"/>
                <w:kern w:val="0"/>
                <w:sz w:val="20"/>
                <w:szCs w:val="20"/>
              </w:rPr>
            </w:pPr>
            <w:r>
              <w:rPr>
                <w:rFonts w:hint="eastAsia" w:cs="宋体"/>
                <w:kern w:val="0"/>
                <w:sz w:val="20"/>
                <w:szCs w:val="20"/>
              </w:rPr>
              <w:t>社会公众或服务对象满意度</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32AA41D">
            <w:pPr>
              <w:widowControl/>
              <w:spacing w:line="240" w:lineRule="auto"/>
              <w:ind w:firstLine="0" w:firstLineChars="0"/>
              <w:jc w:val="center"/>
              <w:rPr>
                <w:rFonts w:cs="宋体"/>
                <w:kern w:val="0"/>
                <w:sz w:val="20"/>
                <w:szCs w:val="20"/>
              </w:rPr>
            </w:pPr>
            <w:r>
              <w:rPr>
                <w:rFonts w:hint="eastAsia" w:cs="宋体"/>
                <w:kern w:val="0"/>
                <w:sz w:val="20"/>
                <w:szCs w:val="20"/>
              </w:rPr>
              <w:t>≥90%</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14:paraId="25967AF3">
            <w:pPr>
              <w:widowControl/>
              <w:spacing w:line="240" w:lineRule="auto"/>
              <w:ind w:firstLine="0" w:firstLineChars="0"/>
              <w:jc w:val="center"/>
              <w:rPr>
                <w:rFonts w:cs="宋体"/>
                <w:kern w:val="0"/>
                <w:sz w:val="20"/>
                <w:szCs w:val="20"/>
              </w:rPr>
            </w:pPr>
            <w:r>
              <w:rPr>
                <w:rFonts w:hint="eastAsia" w:cs="宋体"/>
                <w:kern w:val="0"/>
                <w:sz w:val="20"/>
                <w:szCs w:val="20"/>
              </w:rPr>
              <w:t>95%</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14:paraId="4EA05049">
            <w:pPr>
              <w:widowControl/>
              <w:spacing w:line="240" w:lineRule="auto"/>
              <w:ind w:firstLine="0" w:firstLineChars="0"/>
              <w:jc w:val="center"/>
              <w:rPr>
                <w:rFonts w:cs="宋体"/>
                <w:kern w:val="0"/>
                <w:sz w:val="20"/>
                <w:szCs w:val="20"/>
              </w:rPr>
            </w:pPr>
            <w:r>
              <w:rPr>
                <w:rFonts w:cs="宋体"/>
                <w:kern w:val="0"/>
                <w:sz w:val="20"/>
                <w:szCs w:val="20"/>
              </w:rPr>
              <w:t>7</w:t>
            </w:r>
          </w:p>
        </w:tc>
      </w:tr>
      <w:tr w14:paraId="3272B823">
        <w:tblPrEx>
          <w:tblCellMar>
            <w:top w:w="0" w:type="dxa"/>
            <w:left w:w="108" w:type="dxa"/>
            <w:bottom w:w="0" w:type="dxa"/>
            <w:right w:w="108" w:type="dxa"/>
          </w:tblCellMar>
        </w:tblPrEx>
        <w:trPr>
          <w:trHeight w:val="380" w:hRule="atLeast"/>
        </w:trPr>
        <w:tc>
          <w:tcPr>
            <w:tcW w:w="1133" w:type="dxa"/>
            <w:vMerge w:val="continue"/>
            <w:tcBorders>
              <w:left w:val="single" w:color="auto" w:sz="4" w:space="0"/>
              <w:right w:val="single" w:color="auto" w:sz="4" w:space="0"/>
            </w:tcBorders>
            <w:shd w:val="clear" w:color="auto" w:fill="auto"/>
            <w:vAlign w:val="center"/>
          </w:tcPr>
          <w:p w14:paraId="14F69472">
            <w:pPr>
              <w:widowControl/>
              <w:spacing w:line="240" w:lineRule="auto"/>
              <w:ind w:firstLine="0" w:firstLineChars="0"/>
              <w:jc w:val="left"/>
              <w:rPr>
                <w:rFonts w:cs="宋体"/>
                <w:kern w:val="0"/>
                <w:sz w:val="20"/>
                <w:szCs w:val="20"/>
              </w:rPr>
            </w:pPr>
          </w:p>
        </w:tc>
        <w:tc>
          <w:tcPr>
            <w:tcW w:w="1779" w:type="dxa"/>
            <w:tcBorders>
              <w:top w:val="single" w:color="auto" w:sz="4" w:space="0"/>
              <w:left w:val="single" w:color="auto" w:sz="4" w:space="0"/>
              <w:bottom w:val="single" w:color="auto" w:sz="4" w:space="0"/>
              <w:right w:val="single" w:color="auto" w:sz="4" w:space="0"/>
            </w:tcBorders>
            <w:shd w:val="clear" w:color="auto" w:fill="auto"/>
          </w:tcPr>
          <w:p w14:paraId="0C7B4406">
            <w:pPr>
              <w:widowControl/>
              <w:spacing w:line="240" w:lineRule="auto"/>
              <w:ind w:firstLine="0" w:firstLineChars="0"/>
              <w:jc w:val="left"/>
              <w:rPr>
                <w:rFonts w:cs="宋体"/>
                <w:kern w:val="0"/>
                <w:sz w:val="20"/>
                <w:szCs w:val="20"/>
              </w:rPr>
            </w:pPr>
            <w:r>
              <w:rPr>
                <w:rFonts w:hint="eastAsia" w:cs="宋体"/>
                <w:kern w:val="0"/>
                <w:sz w:val="20"/>
                <w:szCs w:val="20"/>
              </w:rPr>
              <w:t>荣誉证书</w:t>
            </w:r>
          </w:p>
        </w:tc>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14:paraId="72435D6A">
            <w:pPr>
              <w:widowControl/>
              <w:spacing w:line="240" w:lineRule="auto"/>
              <w:ind w:firstLine="0" w:firstLineChars="0"/>
              <w:rPr>
                <w:rFonts w:cs="宋体"/>
                <w:kern w:val="0"/>
                <w:sz w:val="20"/>
                <w:szCs w:val="20"/>
              </w:rPr>
            </w:pPr>
            <w:r>
              <w:rPr>
                <w:rFonts w:hint="eastAsia" w:cs="宋体"/>
                <w:kern w:val="0"/>
                <w:sz w:val="20"/>
                <w:szCs w:val="20"/>
              </w:rPr>
              <w:t>荣誉证书</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FEB2097">
            <w:pPr>
              <w:widowControl/>
              <w:spacing w:line="240" w:lineRule="auto"/>
              <w:ind w:firstLine="0" w:firstLineChars="0"/>
              <w:jc w:val="center"/>
              <w:rPr>
                <w:rFonts w:cs="宋体"/>
                <w:kern w:val="0"/>
                <w:sz w:val="20"/>
                <w:szCs w:val="20"/>
              </w:rPr>
            </w:pP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14:paraId="06F0E865">
            <w:pPr>
              <w:widowControl/>
              <w:spacing w:line="240" w:lineRule="auto"/>
              <w:ind w:firstLine="0" w:firstLineChars="0"/>
              <w:jc w:val="center"/>
              <w:rPr>
                <w:rFonts w:cs="宋体"/>
                <w:kern w:val="0"/>
                <w:sz w:val="20"/>
                <w:szCs w:val="20"/>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14:paraId="7ADD434B">
            <w:pPr>
              <w:widowControl/>
              <w:spacing w:line="240" w:lineRule="auto"/>
              <w:ind w:firstLine="0" w:firstLineChars="0"/>
              <w:jc w:val="center"/>
              <w:rPr>
                <w:rFonts w:cs="宋体"/>
                <w:kern w:val="0"/>
                <w:sz w:val="20"/>
                <w:szCs w:val="20"/>
              </w:rPr>
            </w:pPr>
            <w:r>
              <w:rPr>
                <w:rFonts w:cs="宋体"/>
                <w:kern w:val="0"/>
                <w:sz w:val="20"/>
                <w:szCs w:val="20"/>
              </w:rPr>
              <w:t>7</w:t>
            </w:r>
          </w:p>
        </w:tc>
      </w:tr>
      <w:tr w14:paraId="3AF132F4">
        <w:tblPrEx>
          <w:tblCellMar>
            <w:top w:w="0" w:type="dxa"/>
            <w:left w:w="108" w:type="dxa"/>
            <w:bottom w:w="0" w:type="dxa"/>
            <w:right w:w="108" w:type="dxa"/>
          </w:tblCellMar>
        </w:tblPrEx>
        <w:trPr>
          <w:trHeight w:val="317" w:hRule="atLeast"/>
        </w:trPr>
        <w:tc>
          <w:tcPr>
            <w:tcW w:w="1133" w:type="dxa"/>
            <w:tcBorders>
              <w:left w:val="single" w:color="auto" w:sz="4" w:space="0"/>
              <w:bottom w:val="single" w:color="auto" w:sz="4" w:space="0"/>
              <w:right w:val="single" w:color="auto" w:sz="4" w:space="0"/>
            </w:tcBorders>
            <w:shd w:val="clear" w:color="auto" w:fill="auto"/>
            <w:vAlign w:val="center"/>
          </w:tcPr>
          <w:p w14:paraId="5DF70F80">
            <w:pPr>
              <w:widowControl/>
              <w:spacing w:line="240" w:lineRule="auto"/>
              <w:ind w:firstLine="0" w:firstLineChars="0"/>
              <w:jc w:val="left"/>
              <w:rPr>
                <w:rFonts w:cs="宋体"/>
                <w:kern w:val="0"/>
                <w:sz w:val="20"/>
                <w:szCs w:val="20"/>
              </w:rPr>
            </w:pPr>
          </w:p>
        </w:tc>
        <w:tc>
          <w:tcPr>
            <w:tcW w:w="1779" w:type="dxa"/>
            <w:tcBorders>
              <w:top w:val="single" w:color="auto" w:sz="4" w:space="0"/>
              <w:left w:val="nil"/>
              <w:bottom w:val="single" w:color="auto" w:sz="4" w:space="0"/>
              <w:right w:val="single" w:color="auto" w:sz="4" w:space="0"/>
            </w:tcBorders>
            <w:shd w:val="clear" w:color="auto" w:fill="auto"/>
          </w:tcPr>
          <w:p w14:paraId="6DA5BDA9">
            <w:pPr>
              <w:widowControl/>
              <w:spacing w:line="240" w:lineRule="auto"/>
              <w:ind w:firstLine="0" w:firstLineChars="0"/>
              <w:jc w:val="left"/>
              <w:rPr>
                <w:rFonts w:cs="宋体"/>
                <w:kern w:val="0"/>
                <w:sz w:val="20"/>
                <w:szCs w:val="20"/>
              </w:rPr>
            </w:pPr>
            <w:r>
              <w:rPr>
                <w:rFonts w:hint="eastAsia" w:cs="宋体"/>
                <w:kern w:val="0"/>
                <w:sz w:val="20"/>
                <w:szCs w:val="20"/>
              </w:rPr>
              <w:t>环境效益</w:t>
            </w:r>
          </w:p>
        </w:tc>
        <w:tc>
          <w:tcPr>
            <w:tcW w:w="2040" w:type="dxa"/>
            <w:tcBorders>
              <w:top w:val="single" w:color="auto" w:sz="4" w:space="0"/>
              <w:left w:val="nil"/>
              <w:bottom w:val="single" w:color="auto" w:sz="4" w:space="0"/>
              <w:right w:val="single" w:color="auto" w:sz="4" w:space="0"/>
            </w:tcBorders>
            <w:shd w:val="clear" w:color="auto" w:fill="auto"/>
            <w:vAlign w:val="center"/>
          </w:tcPr>
          <w:p w14:paraId="6C2D017A">
            <w:pPr>
              <w:widowControl/>
              <w:spacing w:line="240" w:lineRule="auto"/>
              <w:ind w:firstLine="0" w:firstLineChars="0"/>
              <w:rPr>
                <w:rFonts w:cs="宋体"/>
                <w:kern w:val="0"/>
                <w:sz w:val="20"/>
                <w:szCs w:val="20"/>
              </w:rPr>
            </w:pPr>
            <w:r>
              <w:rPr>
                <w:rFonts w:hint="eastAsia" w:cs="宋体"/>
                <w:kern w:val="0"/>
                <w:sz w:val="20"/>
                <w:szCs w:val="20"/>
              </w:rPr>
              <w:t>淤泥处置与运输情况</w:t>
            </w:r>
          </w:p>
        </w:tc>
        <w:tc>
          <w:tcPr>
            <w:tcW w:w="1418" w:type="dxa"/>
            <w:tcBorders>
              <w:top w:val="single" w:color="auto" w:sz="4" w:space="0"/>
              <w:left w:val="nil"/>
              <w:bottom w:val="single" w:color="auto" w:sz="4" w:space="0"/>
              <w:right w:val="single" w:color="auto" w:sz="4" w:space="0"/>
            </w:tcBorders>
            <w:shd w:val="clear" w:color="auto" w:fill="auto"/>
          </w:tcPr>
          <w:p w14:paraId="7346A27E">
            <w:pPr>
              <w:widowControl/>
              <w:spacing w:line="240" w:lineRule="auto"/>
              <w:ind w:firstLine="0" w:firstLineChars="0"/>
              <w:jc w:val="left"/>
              <w:rPr>
                <w:rFonts w:cs="宋体"/>
                <w:kern w:val="0"/>
                <w:sz w:val="20"/>
                <w:szCs w:val="20"/>
              </w:rPr>
            </w:pPr>
          </w:p>
        </w:tc>
        <w:tc>
          <w:tcPr>
            <w:tcW w:w="916" w:type="dxa"/>
            <w:tcBorders>
              <w:top w:val="single" w:color="auto" w:sz="4" w:space="0"/>
              <w:left w:val="nil"/>
              <w:bottom w:val="single" w:color="auto" w:sz="4" w:space="0"/>
              <w:right w:val="single" w:color="auto" w:sz="4" w:space="0"/>
            </w:tcBorders>
            <w:shd w:val="clear" w:color="auto" w:fill="auto"/>
          </w:tcPr>
          <w:p w14:paraId="6DD5323E">
            <w:pPr>
              <w:widowControl/>
              <w:spacing w:line="240" w:lineRule="auto"/>
              <w:ind w:firstLine="0" w:firstLineChars="0"/>
              <w:jc w:val="left"/>
              <w:rPr>
                <w:rFonts w:cs="宋体"/>
                <w:kern w:val="0"/>
                <w:sz w:val="20"/>
                <w:szCs w:val="20"/>
              </w:rPr>
            </w:pPr>
          </w:p>
        </w:tc>
        <w:tc>
          <w:tcPr>
            <w:tcW w:w="1236" w:type="dxa"/>
            <w:tcBorders>
              <w:top w:val="single" w:color="auto" w:sz="4" w:space="0"/>
              <w:left w:val="nil"/>
              <w:bottom w:val="single" w:color="auto" w:sz="4" w:space="0"/>
              <w:right w:val="single" w:color="auto" w:sz="4" w:space="0"/>
            </w:tcBorders>
            <w:shd w:val="clear" w:color="auto" w:fill="auto"/>
            <w:vAlign w:val="center"/>
          </w:tcPr>
          <w:p w14:paraId="16339336">
            <w:pPr>
              <w:widowControl/>
              <w:spacing w:line="240" w:lineRule="auto"/>
              <w:ind w:firstLine="0" w:firstLineChars="0"/>
              <w:jc w:val="center"/>
              <w:rPr>
                <w:rFonts w:cs="宋体"/>
                <w:kern w:val="0"/>
                <w:sz w:val="20"/>
                <w:szCs w:val="20"/>
              </w:rPr>
            </w:pPr>
            <w:r>
              <w:rPr>
                <w:rFonts w:cs="宋体"/>
                <w:kern w:val="0"/>
                <w:sz w:val="20"/>
                <w:szCs w:val="20"/>
              </w:rPr>
              <w:t>8</w:t>
            </w:r>
          </w:p>
        </w:tc>
      </w:tr>
    </w:tbl>
    <w:p w14:paraId="4AB8F9D1">
      <w:pPr>
        <w:widowControl/>
        <w:ind w:firstLine="480"/>
        <w:jc w:val="left"/>
        <w:rPr>
          <w:rFonts w:ascii="Arial Narrow" w:hAnsi="Arial Narrow" w:cs="Arial Narrow" w:eastAsiaTheme="minorEastAsia"/>
          <w:szCs w:val="24"/>
        </w:rPr>
      </w:pPr>
    </w:p>
    <w:p w14:paraId="39987DC1">
      <w:pPr>
        <w:widowControl/>
        <w:ind w:firstLine="480"/>
        <w:jc w:val="left"/>
        <w:rPr>
          <w:rFonts w:ascii="Arial Narrow" w:hAnsi="Arial Narrow" w:cs="Arial Narrow" w:eastAsiaTheme="minorEastAsia"/>
          <w:szCs w:val="24"/>
        </w:rPr>
      </w:pPr>
    </w:p>
    <w:p w14:paraId="15B1128A">
      <w:pPr>
        <w:widowControl/>
        <w:ind w:firstLine="480"/>
        <w:jc w:val="left"/>
        <w:rPr>
          <w:rFonts w:ascii="Arial Narrow" w:hAnsi="Arial Narrow" w:cs="Arial Narrow" w:eastAsiaTheme="minorEastAsia"/>
          <w:szCs w:val="24"/>
        </w:rPr>
      </w:pPr>
    </w:p>
    <w:p w14:paraId="44CA947B">
      <w:pPr>
        <w:widowControl/>
        <w:ind w:firstLine="480"/>
        <w:jc w:val="left"/>
        <w:rPr>
          <w:rFonts w:ascii="Arial Narrow" w:hAnsi="Arial Narrow" w:cs="Arial Narrow" w:eastAsiaTheme="minorEastAsia"/>
          <w:szCs w:val="24"/>
        </w:rPr>
      </w:pPr>
    </w:p>
    <w:p w14:paraId="76B4C38D">
      <w:pPr>
        <w:widowControl/>
        <w:ind w:firstLine="480"/>
        <w:jc w:val="left"/>
        <w:rPr>
          <w:rFonts w:ascii="Arial Narrow" w:hAnsi="Arial Narrow" w:cs="Arial Narrow" w:eastAsiaTheme="minorEastAsia"/>
          <w:szCs w:val="24"/>
        </w:rPr>
      </w:pPr>
    </w:p>
    <w:p w14:paraId="506C3DB1">
      <w:pPr>
        <w:widowControl/>
        <w:ind w:firstLine="480"/>
        <w:jc w:val="left"/>
        <w:rPr>
          <w:rFonts w:ascii="Arial Narrow" w:hAnsi="Arial Narrow" w:cs="Arial Narrow" w:eastAsiaTheme="minorEastAsia"/>
          <w:szCs w:val="24"/>
          <w:highlight w:val="magenta"/>
        </w:rPr>
      </w:pPr>
    </w:p>
    <w:p w14:paraId="5BE41080">
      <w:pPr>
        <w:widowControl/>
        <w:ind w:firstLine="480"/>
        <w:jc w:val="left"/>
        <w:rPr>
          <w:rFonts w:ascii="Arial Narrow" w:hAnsi="Arial Narrow" w:cs="Arial Narrow" w:eastAsiaTheme="minorEastAsia"/>
          <w:szCs w:val="24"/>
        </w:rPr>
      </w:pPr>
      <w:r>
        <w:rPr>
          <w:rFonts w:hint="eastAsia" w:ascii="Arial Narrow" w:hAnsi="Arial Narrow" w:cs="Arial Narrow" w:eastAsiaTheme="minorEastAsia"/>
          <w:szCs w:val="24"/>
        </w:rPr>
        <w:t>附件：</w:t>
      </w:r>
    </w:p>
    <w:p w14:paraId="2A832E69">
      <w:pPr>
        <w:ind w:left="720" w:leftChars="200" w:hanging="240" w:hangingChars="100"/>
        <w:rPr>
          <w:rFonts w:cs="Arial Narrow"/>
          <w:szCs w:val="24"/>
        </w:rPr>
      </w:pPr>
      <w:r>
        <w:rPr>
          <w:rFonts w:cs="Arial Narrow"/>
          <w:szCs w:val="24"/>
        </w:rPr>
        <w:t>1</w:t>
      </w:r>
      <w:r>
        <w:rPr>
          <w:rFonts w:hint="eastAsia" w:cs="Arial Narrow"/>
          <w:szCs w:val="24"/>
        </w:rPr>
        <w:t>、排水队2018年排水管网维护保养与管理项目绩效评价体系及评分标准说明表；</w:t>
      </w:r>
    </w:p>
    <w:p w14:paraId="06A421F9">
      <w:pPr>
        <w:ind w:firstLine="480"/>
        <w:rPr>
          <w:rFonts w:cs="Arial Narrow"/>
          <w:szCs w:val="24"/>
        </w:rPr>
      </w:pPr>
      <w:r>
        <w:rPr>
          <w:rFonts w:cs="Arial Narrow"/>
          <w:szCs w:val="24"/>
        </w:rPr>
        <w:t>2</w:t>
      </w:r>
      <w:r>
        <w:rPr>
          <w:rFonts w:hint="eastAsia" w:cs="Arial Narrow"/>
          <w:szCs w:val="24"/>
        </w:rPr>
        <w:t>、排水队2018年排水管网维护保养与管理项目绩效评价访谈大纲；</w:t>
      </w:r>
    </w:p>
    <w:p w14:paraId="6306C846">
      <w:pPr>
        <w:ind w:firstLine="480"/>
        <w:rPr>
          <w:rFonts w:cs="Arial Narrow"/>
          <w:szCs w:val="24"/>
        </w:rPr>
      </w:pPr>
      <w:r>
        <w:rPr>
          <w:rFonts w:cs="Arial Narrow"/>
          <w:szCs w:val="24"/>
        </w:rPr>
        <w:t>3</w:t>
      </w:r>
      <w:r>
        <w:rPr>
          <w:rFonts w:hint="eastAsia" w:cs="Arial Narrow"/>
          <w:szCs w:val="24"/>
        </w:rPr>
        <w:t>、排水队2018年排水管网维护保养与管理项目绩效评价访谈记录；</w:t>
      </w:r>
    </w:p>
    <w:p w14:paraId="08F90FBD">
      <w:pPr>
        <w:ind w:firstLine="480"/>
        <w:rPr>
          <w:rFonts w:cs="Arial Narrow"/>
          <w:szCs w:val="24"/>
        </w:rPr>
      </w:pPr>
      <w:r>
        <w:rPr>
          <w:rFonts w:cs="Arial Narrow"/>
          <w:szCs w:val="24"/>
        </w:rPr>
        <w:t>4</w:t>
      </w:r>
      <w:r>
        <w:rPr>
          <w:rFonts w:hint="eastAsia" w:cs="Arial Narrow"/>
          <w:szCs w:val="24"/>
        </w:rPr>
        <w:t>、排水队2018年排水管网维护保养与管理项目绩效评价实施方案；</w:t>
      </w:r>
    </w:p>
    <w:p w14:paraId="4C12E68C">
      <w:pPr>
        <w:ind w:firstLine="480"/>
        <w:rPr>
          <w:rFonts w:cs="Arial Narrow"/>
          <w:szCs w:val="24"/>
        </w:rPr>
      </w:pPr>
      <w:r>
        <w:rPr>
          <w:rFonts w:cs="Arial Narrow"/>
          <w:szCs w:val="24"/>
        </w:rPr>
        <w:t>5</w:t>
      </w:r>
      <w:r>
        <w:rPr>
          <w:rFonts w:hint="eastAsia" w:cs="Arial Narrow"/>
          <w:szCs w:val="24"/>
        </w:rPr>
        <w:t>、排水队2018年排水管网维护保养与管理项目绩效评价调查问卷。</w:t>
      </w:r>
    </w:p>
    <w:p w14:paraId="62506E9D">
      <w:pPr>
        <w:adjustRightInd w:val="0"/>
        <w:spacing w:line="580" w:lineRule="atLeast"/>
        <w:ind w:firstLine="640"/>
        <w:rPr>
          <w:rFonts w:ascii="仿宋" w:hAnsi="仿宋" w:eastAsia="仿宋"/>
          <w:sz w:val="32"/>
          <w:szCs w:val="32"/>
        </w:rPr>
      </w:pPr>
    </w:p>
    <w:p w14:paraId="3FA231C9">
      <w:pPr>
        <w:adjustRightInd w:val="0"/>
        <w:spacing w:line="580" w:lineRule="atLeast"/>
        <w:ind w:firstLine="0" w:firstLineChars="0"/>
        <w:rPr>
          <w:rFonts w:ascii="仿宋" w:hAnsi="仿宋" w:eastAsia="仿宋"/>
          <w:sz w:val="32"/>
          <w:szCs w:val="32"/>
        </w:rPr>
      </w:pPr>
    </w:p>
    <w:sectPr>
      <w:footerReference r:id="rId11" w:type="default"/>
      <w:type w:val="continuous"/>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0"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创艺简标宋">
    <w:altName w:val="方正小标宋简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w:altName w:val="文泉驿微米黑"/>
    <w:panose1 w:val="00000000000000000000"/>
    <w:charset w:val="86"/>
    <w:family w:val="auto"/>
    <w:pitch w:val="default"/>
    <w:sig w:usb0="00000000" w:usb1="00000000" w:usb2="00000016" w:usb3="00000000" w:csb0="0004000F" w:csb1="00000000"/>
  </w:font>
  <w:font w:name="文泉驿微米黑">
    <w:panose1 w:val="020B0606030804020204"/>
    <w:charset w:val="86"/>
    <w:family w:val="auto"/>
    <w:pitch w:val="default"/>
    <w:sig w:usb0="E10002EF" w:usb1="6BDFFCFB" w:usb2="00800036" w:usb3="00000000" w:csb0="603E019F" w:csb1="DFD70000"/>
  </w:font>
  <w:font w:name="Arial Narrow">
    <w:altName w:val="DejaVu Sans"/>
    <w:panose1 w:val="020B0606020202030204"/>
    <w:charset w:val="00"/>
    <w:family w:val="swiss"/>
    <w:pitch w:val="default"/>
    <w:sig w:usb0="00000000" w:usb1="00000000" w:usb2="00000000" w:usb3="00000000" w:csb0="0000009F" w:csb1="00000000"/>
  </w:font>
  <w:font w:name="仿宋">
    <w:altName w:val="方正仿宋_GBK"/>
    <w:panose1 w:val="02010609060101010101"/>
    <w:charset w:val="86"/>
    <w:family w:val="modern"/>
    <w:pitch w:val="default"/>
    <w:sig w:usb0="00000000" w:usb1="00000000" w:usb2="00000016" w:usb3="00000000" w:csb0="00040001"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57CFA">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FEE32">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EE416">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4406399"/>
    </w:sdtPr>
    <w:sdtContent>
      <w:p w14:paraId="34AA70D8">
        <w:pPr>
          <w:pStyle w:val="11"/>
          <w:ind w:firstLine="360"/>
          <w:jc w:val="center"/>
        </w:pPr>
        <w:r>
          <w:fldChar w:fldCharType="begin"/>
        </w:r>
        <w:r>
          <w:instrText xml:space="preserve">PAGE   \* MERGEFORMAT</w:instrText>
        </w:r>
        <w:r>
          <w:fldChar w:fldCharType="separate"/>
        </w:r>
        <w:r>
          <w:rPr>
            <w:lang w:val="zh-CN"/>
          </w:rPr>
          <w:t>12</w:t>
        </w:r>
        <w:r>
          <w:rPr>
            <w:lang w:val="zh-CN"/>
          </w:rPr>
          <w:fldChar w:fldCharType="end"/>
        </w:r>
      </w:p>
    </w:sdtContent>
  </w:sdt>
  <w:p w14:paraId="5DF7E324">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FC7CA">
    <w:pPr>
      <w:pStyle w:val="12"/>
      <w:pBdr>
        <w:bottom w:val="none" w:color="auto" w:sz="0" w:space="0"/>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AF181">
    <w:pPr>
      <w:pStyle w:val="12"/>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1227A">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0342D0"/>
    <w:multiLevelType w:val="multilevel"/>
    <w:tmpl w:val="4D0342D0"/>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17F03EF4"/>
    <w:rsid w:val="000003ED"/>
    <w:rsid w:val="00003873"/>
    <w:rsid w:val="00004AC5"/>
    <w:rsid w:val="0000724E"/>
    <w:rsid w:val="0001082B"/>
    <w:rsid w:val="00011D52"/>
    <w:rsid w:val="00012918"/>
    <w:rsid w:val="0002029A"/>
    <w:rsid w:val="000204E8"/>
    <w:rsid w:val="00020C03"/>
    <w:rsid w:val="00021936"/>
    <w:rsid w:val="00021A7A"/>
    <w:rsid w:val="000229D6"/>
    <w:rsid w:val="00022D66"/>
    <w:rsid w:val="0002350A"/>
    <w:rsid w:val="000257B4"/>
    <w:rsid w:val="00027893"/>
    <w:rsid w:val="0003252D"/>
    <w:rsid w:val="00032DE4"/>
    <w:rsid w:val="00033E79"/>
    <w:rsid w:val="00036F56"/>
    <w:rsid w:val="00037245"/>
    <w:rsid w:val="0004166C"/>
    <w:rsid w:val="0004169A"/>
    <w:rsid w:val="00043D4B"/>
    <w:rsid w:val="000469C2"/>
    <w:rsid w:val="00046DA0"/>
    <w:rsid w:val="00047007"/>
    <w:rsid w:val="000509CB"/>
    <w:rsid w:val="000516E4"/>
    <w:rsid w:val="0005272E"/>
    <w:rsid w:val="00053CAA"/>
    <w:rsid w:val="00053ECA"/>
    <w:rsid w:val="00054213"/>
    <w:rsid w:val="00055238"/>
    <w:rsid w:val="0005581F"/>
    <w:rsid w:val="00055BBF"/>
    <w:rsid w:val="00057353"/>
    <w:rsid w:val="0006178F"/>
    <w:rsid w:val="00062F2F"/>
    <w:rsid w:val="0006345C"/>
    <w:rsid w:val="0006405B"/>
    <w:rsid w:val="00065DB8"/>
    <w:rsid w:val="00071C67"/>
    <w:rsid w:val="00074285"/>
    <w:rsid w:val="000748B4"/>
    <w:rsid w:val="00075279"/>
    <w:rsid w:val="00077466"/>
    <w:rsid w:val="000851F6"/>
    <w:rsid w:val="00086662"/>
    <w:rsid w:val="000906B4"/>
    <w:rsid w:val="000910F6"/>
    <w:rsid w:val="0009145C"/>
    <w:rsid w:val="00091B29"/>
    <w:rsid w:val="00093A73"/>
    <w:rsid w:val="000947E6"/>
    <w:rsid w:val="00094F94"/>
    <w:rsid w:val="00096C6B"/>
    <w:rsid w:val="000A0175"/>
    <w:rsid w:val="000A186F"/>
    <w:rsid w:val="000A355F"/>
    <w:rsid w:val="000A507E"/>
    <w:rsid w:val="000B18C4"/>
    <w:rsid w:val="000B1910"/>
    <w:rsid w:val="000B1AC7"/>
    <w:rsid w:val="000B23E0"/>
    <w:rsid w:val="000B554C"/>
    <w:rsid w:val="000C24AD"/>
    <w:rsid w:val="000C25FE"/>
    <w:rsid w:val="000C2E46"/>
    <w:rsid w:val="000C75F3"/>
    <w:rsid w:val="000C78A2"/>
    <w:rsid w:val="000D0CB5"/>
    <w:rsid w:val="000D49BC"/>
    <w:rsid w:val="000D5720"/>
    <w:rsid w:val="000E01AC"/>
    <w:rsid w:val="000E0604"/>
    <w:rsid w:val="000E0E57"/>
    <w:rsid w:val="000E18E2"/>
    <w:rsid w:val="000E418F"/>
    <w:rsid w:val="000E56A0"/>
    <w:rsid w:val="000E575D"/>
    <w:rsid w:val="000E729E"/>
    <w:rsid w:val="000E773D"/>
    <w:rsid w:val="000F05F2"/>
    <w:rsid w:val="000F1202"/>
    <w:rsid w:val="000F1BD6"/>
    <w:rsid w:val="000F2375"/>
    <w:rsid w:val="000F29A0"/>
    <w:rsid w:val="000F2E80"/>
    <w:rsid w:val="000F3DA8"/>
    <w:rsid w:val="000F4DC1"/>
    <w:rsid w:val="000F4F71"/>
    <w:rsid w:val="000F6568"/>
    <w:rsid w:val="00100620"/>
    <w:rsid w:val="00102431"/>
    <w:rsid w:val="001028F5"/>
    <w:rsid w:val="00103A56"/>
    <w:rsid w:val="0010580A"/>
    <w:rsid w:val="001075F6"/>
    <w:rsid w:val="00113F53"/>
    <w:rsid w:val="00114290"/>
    <w:rsid w:val="001151E4"/>
    <w:rsid w:val="00116591"/>
    <w:rsid w:val="00117ACE"/>
    <w:rsid w:val="00120BFA"/>
    <w:rsid w:val="00122BA5"/>
    <w:rsid w:val="00123CB6"/>
    <w:rsid w:val="001263D0"/>
    <w:rsid w:val="001269A9"/>
    <w:rsid w:val="00130B93"/>
    <w:rsid w:val="00130D56"/>
    <w:rsid w:val="00130DCC"/>
    <w:rsid w:val="00130EB5"/>
    <w:rsid w:val="00131BC4"/>
    <w:rsid w:val="00131F25"/>
    <w:rsid w:val="0013247C"/>
    <w:rsid w:val="00133332"/>
    <w:rsid w:val="00135128"/>
    <w:rsid w:val="00137E0C"/>
    <w:rsid w:val="001427F0"/>
    <w:rsid w:val="00142970"/>
    <w:rsid w:val="0014397E"/>
    <w:rsid w:val="00152370"/>
    <w:rsid w:val="001540A1"/>
    <w:rsid w:val="001543E1"/>
    <w:rsid w:val="00154BB0"/>
    <w:rsid w:val="00155DCE"/>
    <w:rsid w:val="00157F8D"/>
    <w:rsid w:val="0016029B"/>
    <w:rsid w:val="00160CBA"/>
    <w:rsid w:val="001624FA"/>
    <w:rsid w:val="00162F77"/>
    <w:rsid w:val="00163920"/>
    <w:rsid w:val="00164919"/>
    <w:rsid w:val="00164CDC"/>
    <w:rsid w:val="00165019"/>
    <w:rsid w:val="00165DBB"/>
    <w:rsid w:val="00165EB0"/>
    <w:rsid w:val="0016662F"/>
    <w:rsid w:val="0017155C"/>
    <w:rsid w:val="0017253E"/>
    <w:rsid w:val="00172947"/>
    <w:rsid w:val="00172CEB"/>
    <w:rsid w:val="00173478"/>
    <w:rsid w:val="00174C52"/>
    <w:rsid w:val="00175BA6"/>
    <w:rsid w:val="00176BC2"/>
    <w:rsid w:val="00176DB3"/>
    <w:rsid w:val="00177241"/>
    <w:rsid w:val="00181323"/>
    <w:rsid w:val="00182143"/>
    <w:rsid w:val="00183D75"/>
    <w:rsid w:val="00184406"/>
    <w:rsid w:val="00185171"/>
    <w:rsid w:val="001853B0"/>
    <w:rsid w:val="00186293"/>
    <w:rsid w:val="00186ECE"/>
    <w:rsid w:val="001872EE"/>
    <w:rsid w:val="00187E52"/>
    <w:rsid w:val="00187EC0"/>
    <w:rsid w:val="00190749"/>
    <w:rsid w:val="00191018"/>
    <w:rsid w:val="0019174D"/>
    <w:rsid w:val="00192190"/>
    <w:rsid w:val="001922A1"/>
    <w:rsid w:val="0019401F"/>
    <w:rsid w:val="0019591A"/>
    <w:rsid w:val="00196F3F"/>
    <w:rsid w:val="00196F88"/>
    <w:rsid w:val="001A0F25"/>
    <w:rsid w:val="001A2D2D"/>
    <w:rsid w:val="001A58B2"/>
    <w:rsid w:val="001A6B38"/>
    <w:rsid w:val="001A762B"/>
    <w:rsid w:val="001B1143"/>
    <w:rsid w:val="001B20AB"/>
    <w:rsid w:val="001B5875"/>
    <w:rsid w:val="001B7C20"/>
    <w:rsid w:val="001C0FDB"/>
    <w:rsid w:val="001C1DE2"/>
    <w:rsid w:val="001C2ECA"/>
    <w:rsid w:val="001C33AB"/>
    <w:rsid w:val="001C35E7"/>
    <w:rsid w:val="001C53F6"/>
    <w:rsid w:val="001C6812"/>
    <w:rsid w:val="001C7F74"/>
    <w:rsid w:val="001D03C2"/>
    <w:rsid w:val="001D0C8B"/>
    <w:rsid w:val="001D0FD6"/>
    <w:rsid w:val="001D2721"/>
    <w:rsid w:val="001D4B33"/>
    <w:rsid w:val="001D548F"/>
    <w:rsid w:val="001D57EA"/>
    <w:rsid w:val="001D7290"/>
    <w:rsid w:val="001D7DD4"/>
    <w:rsid w:val="001E017A"/>
    <w:rsid w:val="001E01AF"/>
    <w:rsid w:val="001E161F"/>
    <w:rsid w:val="001E28BC"/>
    <w:rsid w:val="001E2D97"/>
    <w:rsid w:val="001E3BC3"/>
    <w:rsid w:val="001E3DC7"/>
    <w:rsid w:val="001E4081"/>
    <w:rsid w:val="001E4568"/>
    <w:rsid w:val="001E487A"/>
    <w:rsid w:val="001E4DD0"/>
    <w:rsid w:val="001E5BD3"/>
    <w:rsid w:val="001F0D5F"/>
    <w:rsid w:val="001F12C6"/>
    <w:rsid w:val="001F1753"/>
    <w:rsid w:val="001F1D5F"/>
    <w:rsid w:val="001F2428"/>
    <w:rsid w:val="001F4A8F"/>
    <w:rsid w:val="001F516A"/>
    <w:rsid w:val="001F6EC2"/>
    <w:rsid w:val="00200264"/>
    <w:rsid w:val="002022BC"/>
    <w:rsid w:val="002025C7"/>
    <w:rsid w:val="00203215"/>
    <w:rsid w:val="00203C9A"/>
    <w:rsid w:val="00203DBF"/>
    <w:rsid w:val="00203E31"/>
    <w:rsid w:val="00204D5A"/>
    <w:rsid w:val="002059E3"/>
    <w:rsid w:val="00205B7A"/>
    <w:rsid w:val="00205CCA"/>
    <w:rsid w:val="00207E66"/>
    <w:rsid w:val="00210087"/>
    <w:rsid w:val="00210204"/>
    <w:rsid w:val="00210D34"/>
    <w:rsid w:val="00211209"/>
    <w:rsid w:val="00211AA2"/>
    <w:rsid w:val="00211BB2"/>
    <w:rsid w:val="00212EE7"/>
    <w:rsid w:val="0021328D"/>
    <w:rsid w:val="002145CB"/>
    <w:rsid w:val="00214AAE"/>
    <w:rsid w:val="00215576"/>
    <w:rsid w:val="002160A4"/>
    <w:rsid w:val="00220848"/>
    <w:rsid w:val="0022124C"/>
    <w:rsid w:val="00223895"/>
    <w:rsid w:val="002258B2"/>
    <w:rsid w:val="002264B4"/>
    <w:rsid w:val="002278C1"/>
    <w:rsid w:val="00227E08"/>
    <w:rsid w:val="00230F6A"/>
    <w:rsid w:val="00231061"/>
    <w:rsid w:val="0023143B"/>
    <w:rsid w:val="0023359D"/>
    <w:rsid w:val="00235FEC"/>
    <w:rsid w:val="002366FE"/>
    <w:rsid w:val="002371F2"/>
    <w:rsid w:val="0023787B"/>
    <w:rsid w:val="00237C52"/>
    <w:rsid w:val="00237D3C"/>
    <w:rsid w:val="002402A8"/>
    <w:rsid w:val="0024116B"/>
    <w:rsid w:val="0024145A"/>
    <w:rsid w:val="0024161C"/>
    <w:rsid w:val="00245BBA"/>
    <w:rsid w:val="00247703"/>
    <w:rsid w:val="00247802"/>
    <w:rsid w:val="00250695"/>
    <w:rsid w:val="00250825"/>
    <w:rsid w:val="002516AA"/>
    <w:rsid w:val="00251BE4"/>
    <w:rsid w:val="002526D5"/>
    <w:rsid w:val="00254018"/>
    <w:rsid w:val="002550A3"/>
    <w:rsid w:val="00255299"/>
    <w:rsid w:val="00256314"/>
    <w:rsid w:val="00261952"/>
    <w:rsid w:val="00263EC1"/>
    <w:rsid w:val="00265F48"/>
    <w:rsid w:val="00266AE4"/>
    <w:rsid w:val="0026799A"/>
    <w:rsid w:val="002717CE"/>
    <w:rsid w:val="002723A5"/>
    <w:rsid w:val="002750EB"/>
    <w:rsid w:val="00275C4A"/>
    <w:rsid w:val="002778EC"/>
    <w:rsid w:val="00277AAD"/>
    <w:rsid w:val="00280B09"/>
    <w:rsid w:val="00281CFB"/>
    <w:rsid w:val="00282DE7"/>
    <w:rsid w:val="00284A32"/>
    <w:rsid w:val="002851EE"/>
    <w:rsid w:val="00290B32"/>
    <w:rsid w:val="00291A96"/>
    <w:rsid w:val="00294C08"/>
    <w:rsid w:val="00294EC7"/>
    <w:rsid w:val="00297E15"/>
    <w:rsid w:val="002A0E92"/>
    <w:rsid w:val="002A0EF7"/>
    <w:rsid w:val="002A20A8"/>
    <w:rsid w:val="002A3D01"/>
    <w:rsid w:val="002A3FEF"/>
    <w:rsid w:val="002A5757"/>
    <w:rsid w:val="002A66C5"/>
    <w:rsid w:val="002A7375"/>
    <w:rsid w:val="002A74CC"/>
    <w:rsid w:val="002B06AF"/>
    <w:rsid w:val="002B1A12"/>
    <w:rsid w:val="002B2218"/>
    <w:rsid w:val="002B3405"/>
    <w:rsid w:val="002B3D7D"/>
    <w:rsid w:val="002B40AE"/>
    <w:rsid w:val="002B4117"/>
    <w:rsid w:val="002B52B2"/>
    <w:rsid w:val="002B5853"/>
    <w:rsid w:val="002B5C1C"/>
    <w:rsid w:val="002B75D9"/>
    <w:rsid w:val="002C101D"/>
    <w:rsid w:val="002C167E"/>
    <w:rsid w:val="002C1A90"/>
    <w:rsid w:val="002C2739"/>
    <w:rsid w:val="002D0450"/>
    <w:rsid w:val="002D36D0"/>
    <w:rsid w:val="002D3BAA"/>
    <w:rsid w:val="002D3EAA"/>
    <w:rsid w:val="002D4729"/>
    <w:rsid w:val="002D5732"/>
    <w:rsid w:val="002D5795"/>
    <w:rsid w:val="002D76E0"/>
    <w:rsid w:val="002D771D"/>
    <w:rsid w:val="002D7AF4"/>
    <w:rsid w:val="002D7D36"/>
    <w:rsid w:val="002E00CB"/>
    <w:rsid w:val="002E03F8"/>
    <w:rsid w:val="002E2A66"/>
    <w:rsid w:val="002E4A18"/>
    <w:rsid w:val="002E71EC"/>
    <w:rsid w:val="002E77BA"/>
    <w:rsid w:val="002F0406"/>
    <w:rsid w:val="002F176C"/>
    <w:rsid w:val="002F2AA0"/>
    <w:rsid w:val="002F39E2"/>
    <w:rsid w:val="002F4520"/>
    <w:rsid w:val="002F46BB"/>
    <w:rsid w:val="002F4B88"/>
    <w:rsid w:val="002F5D6A"/>
    <w:rsid w:val="002F7250"/>
    <w:rsid w:val="00300426"/>
    <w:rsid w:val="003008C1"/>
    <w:rsid w:val="00301962"/>
    <w:rsid w:val="00304215"/>
    <w:rsid w:val="003060FB"/>
    <w:rsid w:val="00306712"/>
    <w:rsid w:val="00307E9C"/>
    <w:rsid w:val="0031003A"/>
    <w:rsid w:val="003111CC"/>
    <w:rsid w:val="00311527"/>
    <w:rsid w:val="00316096"/>
    <w:rsid w:val="003164A8"/>
    <w:rsid w:val="00317EA5"/>
    <w:rsid w:val="00320149"/>
    <w:rsid w:val="00322308"/>
    <w:rsid w:val="003223E2"/>
    <w:rsid w:val="00322B72"/>
    <w:rsid w:val="00323426"/>
    <w:rsid w:val="003266D2"/>
    <w:rsid w:val="0032785A"/>
    <w:rsid w:val="00331298"/>
    <w:rsid w:val="00331593"/>
    <w:rsid w:val="00332AD3"/>
    <w:rsid w:val="003331B0"/>
    <w:rsid w:val="00334B84"/>
    <w:rsid w:val="00341ABA"/>
    <w:rsid w:val="003430E8"/>
    <w:rsid w:val="003479D8"/>
    <w:rsid w:val="00347D41"/>
    <w:rsid w:val="0035006C"/>
    <w:rsid w:val="00350139"/>
    <w:rsid w:val="00352F72"/>
    <w:rsid w:val="003538D6"/>
    <w:rsid w:val="00353C20"/>
    <w:rsid w:val="00354918"/>
    <w:rsid w:val="00355D7F"/>
    <w:rsid w:val="00355E66"/>
    <w:rsid w:val="00356BB5"/>
    <w:rsid w:val="00357213"/>
    <w:rsid w:val="003611BD"/>
    <w:rsid w:val="00361777"/>
    <w:rsid w:val="00364705"/>
    <w:rsid w:val="00364888"/>
    <w:rsid w:val="00364931"/>
    <w:rsid w:val="00364E46"/>
    <w:rsid w:val="00365169"/>
    <w:rsid w:val="0036518E"/>
    <w:rsid w:val="003659F9"/>
    <w:rsid w:val="0036602C"/>
    <w:rsid w:val="00366398"/>
    <w:rsid w:val="003668D7"/>
    <w:rsid w:val="00366F93"/>
    <w:rsid w:val="003703F7"/>
    <w:rsid w:val="00370FD6"/>
    <w:rsid w:val="0037340E"/>
    <w:rsid w:val="00376E20"/>
    <w:rsid w:val="0037720F"/>
    <w:rsid w:val="00377671"/>
    <w:rsid w:val="003800B9"/>
    <w:rsid w:val="003800BE"/>
    <w:rsid w:val="00380F5C"/>
    <w:rsid w:val="003819CE"/>
    <w:rsid w:val="0038379F"/>
    <w:rsid w:val="00384746"/>
    <w:rsid w:val="0038538F"/>
    <w:rsid w:val="00392979"/>
    <w:rsid w:val="00393217"/>
    <w:rsid w:val="00393EF6"/>
    <w:rsid w:val="00394BEF"/>
    <w:rsid w:val="00394E9D"/>
    <w:rsid w:val="00397F47"/>
    <w:rsid w:val="003A1489"/>
    <w:rsid w:val="003A2ABB"/>
    <w:rsid w:val="003A6E88"/>
    <w:rsid w:val="003A7CC2"/>
    <w:rsid w:val="003B07DC"/>
    <w:rsid w:val="003B13ED"/>
    <w:rsid w:val="003B1AA5"/>
    <w:rsid w:val="003B271F"/>
    <w:rsid w:val="003B3E88"/>
    <w:rsid w:val="003B5BD3"/>
    <w:rsid w:val="003B68E8"/>
    <w:rsid w:val="003B7A43"/>
    <w:rsid w:val="003C0D4E"/>
    <w:rsid w:val="003C3A8C"/>
    <w:rsid w:val="003C526D"/>
    <w:rsid w:val="003C6D0E"/>
    <w:rsid w:val="003D2A17"/>
    <w:rsid w:val="003D3D2E"/>
    <w:rsid w:val="003D536B"/>
    <w:rsid w:val="003D5611"/>
    <w:rsid w:val="003D5643"/>
    <w:rsid w:val="003D6273"/>
    <w:rsid w:val="003E17A7"/>
    <w:rsid w:val="003E1B6B"/>
    <w:rsid w:val="003E496B"/>
    <w:rsid w:val="003E4A8A"/>
    <w:rsid w:val="003E6189"/>
    <w:rsid w:val="003E6FA9"/>
    <w:rsid w:val="003F1CE5"/>
    <w:rsid w:val="003F3A60"/>
    <w:rsid w:val="003F445C"/>
    <w:rsid w:val="003F4EE3"/>
    <w:rsid w:val="003F4F20"/>
    <w:rsid w:val="003F769E"/>
    <w:rsid w:val="004003B1"/>
    <w:rsid w:val="0040236F"/>
    <w:rsid w:val="0040545D"/>
    <w:rsid w:val="00405A37"/>
    <w:rsid w:val="00406275"/>
    <w:rsid w:val="00406B96"/>
    <w:rsid w:val="00407E7C"/>
    <w:rsid w:val="00411D09"/>
    <w:rsid w:val="00412B5C"/>
    <w:rsid w:val="00417569"/>
    <w:rsid w:val="00420DE5"/>
    <w:rsid w:val="004218EA"/>
    <w:rsid w:val="004233C1"/>
    <w:rsid w:val="00424870"/>
    <w:rsid w:val="00424BA5"/>
    <w:rsid w:val="00424D8F"/>
    <w:rsid w:val="00425E7B"/>
    <w:rsid w:val="00425FA8"/>
    <w:rsid w:val="00426719"/>
    <w:rsid w:val="00426DE4"/>
    <w:rsid w:val="0043252A"/>
    <w:rsid w:val="0043559B"/>
    <w:rsid w:val="00435C8C"/>
    <w:rsid w:val="004363AF"/>
    <w:rsid w:val="00437323"/>
    <w:rsid w:val="00437C77"/>
    <w:rsid w:val="004428F0"/>
    <w:rsid w:val="004465BD"/>
    <w:rsid w:val="0044712E"/>
    <w:rsid w:val="00447B0C"/>
    <w:rsid w:val="00447D93"/>
    <w:rsid w:val="00450A51"/>
    <w:rsid w:val="00450F55"/>
    <w:rsid w:val="00453086"/>
    <w:rsid w:val="00454ACC"/>
    <w:rsid w:val="00454E7D"/>
    <w:rsid w:val="00454E92"/>
    <w:rsid w:val="00456700"/>
    <w:rsid w:val="00456D01"/>
    <w:rsid w:val="0046086E"/>
    <w:rsid w:val="00462798"/>
    <w:rsid w:val="00462E54"/>
    <w:rsid w:val="0046392E"/>
    <w:rsid w:val="00463C52"/>
    <w:rsid w:val="00463E08"/>
    <w:rsid w:val="004645F2"/>
    <w:rsid w:val="0046591B"/>
    <w:rsid w:val="00467CB3"/>
    <w:rsid w:val="0047318D"/>
    <w:rsid w:val="00473F7A"/>
    <w:rsid w:val="004745ED"/>
    <w:rsid w:val="00474F08"/>
    <w:rsid w:val="00476D59"/>
    <w:rsid w:val="00476DE4"/>
    <w:rsid w:val="004817AB"/>
    <w:rsid w:val="00481C60"/>
    <w:rsid w:val="00482488"/>
    <w:rsid w:val="00483678"/>
    <w:rsid w:val="00483970"/>
    <w:rsid w:val="004875B7"/>
    <w:rsid w:val="00492889"/>
    <w:rsid w:val="00492ED4"/>
    <w:rsid w:val="004936C2"/>
    <w:rsid w:val="00493BB6"/>
    <w:rsid w:val="0049440B"/>
    <w:rsid w:val="00494952"/>
    <w:rsid w:val="00495016"/>
    <w:rsid w:val="00496C4B"/>
    <w:rsid w:val="00497D41"/>
    <w:rsid w:val="00497F5E"/>
    <w:rsid w:val="004A1504"/>
    <w:rsid w:val="004A1540"/>
    <w:rsid w:val="004A4F46"/>
    <w:rsid w:val="004B2B58"/>
    <w:rsid w:val="004B338A"/>
    <w:rsid w:val="004B59A1"/>
    <w:rsid w:val="004C1403"/>
    <w:rsid w:val="004C4145"/>
    <w:rsid w:val="004C67A4"/>
    <w:rsid w:val="004D0CC6"/>
    <w:rsid w:val="004D326E"/>
    <w:rsid w:val="004D4F8E"/>
    <w:rsid w:val="004D5CDC"/>
    <w:rsid w:val="004D74A5"/>
    <w:rsid w:val="004D7C27"/>
    <w:rsid w:val="004E0054"/>
    <w:rsid w:val="004E0431"/>
    <w:rsid w:val="004E222A"/>
    <w:rsid w:val="004E2B97"/>
    <w:rsid w:val="004E2E34"/>
    <w:rsid w:val="004E336C"/>
    <w:rsid w:val="004E3700"/>
    <w:rsid w:val="004E46CB"/>
    <w:rsid w:val="004E5912"/>
    <w:rsid w:val="004E78B2"/>
    <w:rsid w:val="004F0423"/>
    <w:rsid w:val="004F0E8B"/>
    <w:rsid w:val="004F0FDF"/>
    <w:rsid w:val="004F151D"/>
    <w:rsid w:val="004F4BE2"/>
    <w:rsid w:val="004F5369"/>
    <w:rsid w:val="004F6B92"/>
    <w:rsid w:val="004F799F"/>
    <w:rsid w:val="004F79AF"/>
    <w:rsid w:val="00501AB1"/>
    <w:rsid w:val="00503F05"/>
    <w:rsid w:val="005051F4"/>
    <w:rsid w:val="0050553D"/>
    <w:rsid w:val="005059A3"/>
    <w:rsid w:val="00506591"/>
    <w:rsid w:val="00510467"/>
    <w:rsid w:val="00514043"/>
    <w:rsid w:val="00514815"/>
    <w:rsid w:val="00515871"/>
    <w:rsid w:val="00515ECB"/>
    <w:rsid w:val="005177B4"/>
    <w:rsid w:val="005232AF"/>
    <w:rsid w:val="00523C5A"/>
    <w:rsid w:val="00523E33"/>
    <w:rsid w:val="005246EF"/>
    <w:rsid w:val="005253CF"/>
    <w:rsid w:val="00526560"/>
    <w:rsid w:val="0053119A"/>
    <w:rsid w:val="005336B5"/>
    <w:rsid w:val="00535F35"/>
    <w:rsid w:val="005374BC"/>
    <w:rsid w:val="005407FE"/>
    <w:rsid w:val="00541604"/>
    <w:rsid w:val="00541981"/>
    <w:rsid w:val="005435A7"/>
    <w:rsid w:val="0054499B"/>
    <w:rsid w:val="005456BC"/>
    <w:rsid w:val="00547821"/>
    <w:rsid w:val="0055064D"/>
    <w:rsid w:val="005517B9"/>
    <w:rsid w:val="0055282A"/>
    <w:rsid w:val="005550B1"/>
    <w:rsid w:val="005552B9"/>
    <w:rsid w:val="00556F7E"/>
    <w:rsid w:val="00560885"/>
    <w:rsid w:val="00560A49"/>
    <w:rsid w:val="00561B1B"/>
    <w:rsid w:val="00561C9D"/>
    <w:rsid w:val="005626A6"/>
    <w:rsid w:val="00562EA2"/>
    <w:rsid w:val="00563489"/>
    <w:rsid w:val="00564DBA"/>
    <w:rsid w:val="00565C32"/>
    <w:rsid w:val="0056624A"/>
    <w:rsid w:val="0056775C"/>
    <w:rsid w:val="00567FB1"/>
    <w:rsid w:val="00570A33"/>
    <w:rsid w:val="00570C46"/>
    <w:rsid w:val="00571FF0"/>
    <w:rsid w:val="005729DA"/>
    <w:rsid w:val="0057378B"/>
    <w:rsid w:val="00574729"/>
    <w:rsid w:val="00574ED9"/>
    <w:rsid w:val="00576561"/>
    <w:rsid w:val="00577695"/>
    <w:rsid w:val="00580050"/>
    <w:rsid w:val="00580129"/>
    <w:rsid w:val="00580FB0"/>
    <w:rsid w:val="0058167F"/>
    <w:rsid w:val="00582494"/>
    <w:rsid w:val="00585C2F"/>
    <w:rsid w:val="00585E62"/>
    <w:rsid w:val="00587700"/>
    <w:rsid w:val="00593E13"/>
    <w:rsid w:val="00595100"/>
    <w:rsid w:val="00596988"/>
    <w:rsid w:val="005972EB"/>
    <w:rsid w:val="005979C5"/>
    <w:rsid w:val="005A2045"/>
    <w:rsid w:val="005A29ED"/>
    <w:rsid w:val="005A2F53"/>
    <w:rsid w:val="005A3CAE"/>
    <w:rsid w:val="005A7A4E"/>
    <w:rsid w:val="005B01FD"/>
    <w:rsid w:val="005B04F2"/>
    <w:rsid w:val="005B219F"/>
    <w:rsid w:val="005B2D10"/>
    <w:rsid w:val="005B546D"/>
    <w:rsid w:val="005B7681"/>
    <w:rsid w:val="005C04DE"/>
    <w:rsid w:val="005C2321"/>
    <w:rsid w:val="005C271C"/>
    <w:rsid w:val="005C3231"/>
    <w:rsid w:val="005C32CB"/>
    <w:rsid w:val="005C34A6"/>
    <w:rsid w:val="005C3D8F"/>
    <w:rsid w:val="005C5131"/>
    <w:rsid w:val="005C5335"/>
    <w:rsid w:val="005D01FA"/>
    <w:rsid w:val="005D186A"/>
    <w:rsid w:val="005D3CA8"/>
    <w:rsid w:val="005D521C"/>
    <w:rsid w:val="005D5DC7"/>
    <w:rsid w:val="005E1180"/>
    <w:rsid w:val="005E1ABB"/>
    <w:rsid w:val="005E42D4"/>
    <w:rsid w:val="005E4988"/>
    <w:rsid w:val="005E4F23"/>
    <w:rsid w:val="005F08B5"/>
    <w:rsid w:val="005F4934"/>
    <w:rsid w:val="005F6A41"/>
    <w:rsid w:val="005F7F74"/>
    <w:rsid w:val="006006C8"/>
    <w:rsid w:val="00601FD6"/>
    <w:rsid w:val="00602239"/>
    <w:rsid w:val="006032DD"/>
    <w:rsid w:val="00603F97"/>
    <w:rsid w:val="006040E6"/>
    <w:rsid w:val="00604B19"/>
    <w:rsid w:val="00604BF7"/>
    <w:rsid w:val="00606BC6"/>
    <w:rsid w:val="006078E3"/>
    <w:rsid w:val="00607A95"/>
    <w:rsid w:val="00607B0C"/>
    <w:rsid w:val="00610FE0"/>
    <w:rsid w:val="006111BC"/>
    <w:rsid w:val="00611E0F"/>
    <w:rsid w:val="00612865"/>
    <w:rsid w:val="00614455"/>
    <w:rsid w:val="00615655"/>
    <w:rsid w:val="006171F8"/>
    <w:rsid w:val="006175FA"/>
    <w:rsid w:val="00617639"/>
    <w:rsid w:val="00621139"/>
    <w:rsid w:val="006211FB"/>
    <w:rsid w:val="00621DDC"/>
    <w:rsid w:val="00622762"/>
    <w:rsid w:val="00625E5C"/>
    <w:rsid w:val="0062674A"/>
    <w:rsid w:val="0063337D"/>
    <w:rsid w:val="0064080A"/>
    <w:rsid w:val="006409DC"/>
    <w:rsid w:val="006421EB"/>
    <w:rsid w:val="0064398A"/>
    <w:rsid w:val="00643D9C"/>
    <w:rsid w:val="00643FB6"/>
    <w:rsid w:val="00644960"/>
    <w:rsid w:val="00645AC2"/>
    <w:rsid w:val="006461CE"/>
    <w:rsid w:val="00647167"/>
    <w:rsid w:val="0064739B"/>
    <w:rsid w:val="00647D41"/>
    <w:rsid w:val="00654FFA"/>
    <w:rsid w:val="006601A6"/>
    <w:rsid w:val="00661A5C"/>
    <w:rsid w:val="00662185"/>
    <w:rsid w:val="006622F5"/>
    <w:rsid w:val="00662DFA"/>
    <w:rsid w:val="00662EF8"/>
    <w:rsid w:val="00665083"/>
    <w:rsid w:val="00665EB4"/>
    <w:rsid w:val="00666991"/>
    <w:rsid w:val="00667C31"/>
    <w:rsid w:val="0067057C"/>
    <w:rsid w:val="006719D3"/>
    <w:rsid w:val="00672A72"/>
    <w:rsid w:val="00674C6D"/>
    <w:rsid w:val="00677F01"/>
    <w:rsid w:val="0068124B"/>
    <w:rsid w:val="006812BD"/>
    <w:rsid w:val="006836CE"/>
    <w:rsid w:val="006843D6"/>
    <w:rsid w:val="0068474F"/>
    <w:rsid w:val="006870B4"/>
    <w:rsid w:val="00690B37"/>
    <w:rsid w:val="00690B5E"/>
    <w:rsid w:val="0069245B"/>
    <w:rsid w:val="00692A62"/>
    <w:rsid w:val="00693DF1"/>
    <w:rsid w:val="0069423F"/>
    <w:rsid w:val="00694B24"/>
    <w:rsid w:val="00694ED9"/>
    <w:rsid w:val="00695FF2"/>
    <w:rsid w:val="00696FAF"/>
    <w:rsid w:val="006A0B22"/>
    <w:rsid w:val="006A0CBB"/>
    <w:rsid w:val="006A1969"/>
    <w:rsid w:val="006A38E8"/>
    <w:rsid w:val="006A4220"/>
    <w:rsid w:val="006A4BB5"/>
    <w:rsid w:val="006A5805"/>
    <w:rsid w:val="006A7312"/>
    <w:rsid w:val="006A787B"/>
    <w:rsid w:val="006B00E1"/>
    <w:rsid w:val="006B0366"/>
    <w:rsid w:val="006B1AF0"/>
    <w:rsid w:val="006B2C25"/>
    <w:rsid w:val="006B3C4A"/>
    <w:rsid w:val="006B4444"/>
    <w:rsid w:val="006B44BE"/>
    <w:rsid w:val="006B44E5"/>
    <w:rsid w:val="006B6E4D"/>
    <w:rsid w:val="006C0D98"/>
    <w:rsid w:val="006C1740"/>
    <w:rsid w:val="006C2456"/>
    <w:rsid w:val="006C2B76"/>
    <w:rsid w:val="006C3537"/>
    <w:rsid w:val="006C5860"/>
    <w:rsid w:val="006C5B9B"/>
    <w:rsid w:val="006C6853"/>
    <w:rsid w:val="006C7BE1"/>
    <w:rsid w:val="006D0F82"/>
    <w:rsid w:val="006D31FD"/>
    <w:rsid w:val="006D35CE"/>
    <w:rsid w:val="006D40FA"/>
    <w:rsid w:val="006D56D1"/>
    <w:rsid w:val="006D6E4C"/>
    <w:rsid w:val="006D7274"/>
    <w:rsid w:val="006D7393"/>
    <w:rsid w:val="006E0066"/>
    <w:rsid w:val="006E27E1"/>
    <w:rsid w:val="006E4468"/>
    <w:rsid w:val="006E4C33"/>
    <w:rsid w:val="006E751B"/>
    <w:rsid w:val="006E7F86"/>
    <w:rsid w:val="006F4351"/>
    <w:rsid w:val="006F5DB1"/>
    <w:rsid w:val="006F6964"/>
    <w:rsid w:val="006F6AE9"/>
    <w:rsid w:val="00702189"/>
    <w:rsid w:val="00706812"/>
    <w:rsid w:val="00706D41"/>
    <w:rsid w:val="00707EA9"/>
    <w:rsid w:val="0071051F"/>
    <w:rsid w:val="00710DA1"/>
    <w:rsid w:val="007122D3"/>
    <w:rsid w:val="0071288D"/>
    <w:rsid w:val="0071291A"/>
    <w:rsid w:val="007129F7"/>
    <w:rsid w:val="0071469F"/>
    <w:rsid w:val="007217D9"/>
    <w:rsid w:val="007227F9"/>
    <w:rsid w:val="00722E7C"/>
    <w:rsid w:val="00723ECF"/>
    <w:rsid w:val="00724037"/>
    <w:rsid w:val="00725473"/>
    <w:rsid w:val="00725C84"/>
    <w:rsid w:val="00730401"/>
    <w:rsid w:val="0073104D"/>
    <w:rsid w:val="007310F5"/>
    <w:rsid w:val="007335C1"/>
    <w:rsid w:val="007346AD"/>
    <w:rsid w:val="007360D9"/>
    <w:rsid w:val="0073620E"/>
    <w:rsid w:val="007407E9"/>
    <w:rsid w:val="00741AD6"/>
    <w:rsid w:val="00743FDA"/>
    <w:rsid w:val="007441BD"/>
    <w:rsid w:val="0074560C"/>
    <w:rsid w:val="00746BD0"/>
    <w:rsid w:val="007471BE"/>
    <w:rsid w:val="00747D07"/>
    <w:rsid w:val="00750633"/>
    <w:rsid w:val="00751CF7"/>
    <w:rsid w:val="00753CA7"/>
    <w:rsid w:val="007561CA"/>
    <w:rsid w:val="0075670E"/>
    <w:rsid w:val="007605A8"/>
    <w:rsid w:val="0076338D"/>
    <w:rsid w:val="007635B7"/>
    <w:rsid w:val="00763FE5"/>
    <w:rsid w:val="0076423F"/>
    <w:rsid w:val="00764D14"/>
    <w:rsid w:val="00765002"/>
    <w:rsid w:val="00772510"/>
    <w:rsid w:val="00773D0F"/>
    <w:rsid w:val="00775153"/>
    <w:rsid w:val="00776216"/>
    <w:rsid w:val="0077677C"/>
    <w:rsid w:val="00777BDA"/>
    <w:rsid w:val="00777F21"/>
    <w:rsid w:val="00781915"/>
    <w:rsid w:val="007823AC"/>
    <w:rsid w:val="00782FD8"/>
    <w:rsid w:val="0078310F"/>
    <w:rsid w:val="0078674C"/>
    <w:rsid w:val="00787C98"/>
    <w:rsid w:val="00790A29"/>
    <w:rsid w:val="007918B7"/>
    <w:rsid w:val="00791F67"/>
    <w:rsid w:val="00792C62"/>
    <w:rsid w:val="00792EC6"/>
    <w:rsid w:val="007942D5"/>
    <w:rsid w:val="00794AC4"/>
    <w:rsid w:val="00794CD0"/>
    <w:rsid w:val="00794D05"/>
    <w:rsid w:val="00794FE0"/>
    <w:rsid w:val="00795912"/>
    <w:rsid w:val="00796623"/>
    <w:rsid w:val="00796DDA"/>
    <w:rsid w:val="007976F1"/>
    <w:rsid w:val="007A0D23"/>
    <w:rsid w:val="007A1B35"/>
    <w:rsid w:val="007A1F3E"/>
    <w:rsid w:val="007A252A"/>
    <w:rsid w:val="007A2A0C"/>
    <w:rsid w:val="007A2F36"/>
    <w:rsid w:val="007A5923"/>
    <w:rsid w:val="007A6C2C"/>
    <w:rsid w:val="007A6E0C"/>
    <w:rsid w:val="007A6EA9"/>
    <w:rsid w:val="007A727E"/>
    <w:rsid w:val="007A7C77"/>
    <w:rsid w:val="007A7CB6"/>
    <w:rsid w:val="007B0827"/>
    <w:rsid w:val="007B15BC"/>
    <w:rsid w:val="007B1676"/>
    <w:rsid w:val="007B346B"/>
    <w:rsid w:val="007B463C"/>
    <w:rsid w:val="007B5F82"/>
    <w:rsid w:val="007B6E3F"/>
    <w:rsid w:val="007B73F7"/>
    <w:rsid w:val="007B77D8"/>
    <w:rsid w:val="007C05E0"/>
    <w:rsid w:val="007C172C"/>
    <w:rsid w:val="007C1C8A"/>
    <w:rsid w:val="007C2278"/>
    <w:rsid w:val="007C66B7"/>
    <w:rsid w:val="007D0B5E"/>
    <w:rsid w:val="007D0E07"/>
    <w:rsid w:val="007D13B6"/>
    <w:rsid w:val="007D4BB8"/>
    <w:rsid w:val="007D55CD"/>
    <w:rsid w:val="007D57DA"/>
    <w:rsid w:val="007D6141"/>
    <w:rsid w:val="007D61C4"/>
    <w:rsid w:val="007E21BC"/>
    <w:rsid w:val="007E35A1"/>
    <w:rsid w:val="007E36AE"/>
    <w:rsid w:val="007E5A35"/>
    <w:rsid w:val="007E5BEB"/>
    <w:rsid w:val="007E6093"/>
    <w:rsid w:val="007E6FC0"/>
    <w:rsid w:val="007F2052"/>
    <w:rsid w:val="007F345F"/>
    <w:rsid w:val="007F39BB"/>
    <w:rsid w:val="007F3E8A"/>
    <w:rsid w:val="007F43F8"/>
    <w:rsid w:val="007F72E2"/>
    <w:rsid w:val="007F799E"/>
    <w:rsid w:val="00800F92"/>
    <w:rsid w:val="00801129"/>
    <w:rsid w:val="008018CD"/>
    <w:rsid w:val="00801B70"/>
    <w:rsid w:val="00801DC3"/>
    <w:rsid w:val="0080360D"/>
    <w:rsid w:val="00804012"/>
    <w:rsid w:val="00804699"/>
    <w:rsid w:val="008050F8"/>
    <w:rsid w:val="00805279"/>
    <w:rsid w:val="00805983"/>
    <w:rsid w:val="00807707"/>
    <w:rsid w:val="00807922"/>
    <w:rsid w:val="00810315"/>
    <w:rsid w:val="0081345F"/>
    <w:rsid w:val="008139A0"/>
    <w:rsid w:val="00814727"/>
    <w:rsid w:val="00815146"/>
    <w:rsid w:val="00816363"/>
    <w:rsid w:val="00816FEA"/>
    <w:rsid w:val="008202F3"/>
    <w:rsid w:val="00820F43"/>
    <w:rsid w:val="008219EC"/>
    <w:rsid w:val="0082237D"/>
    <w:rsid w:val="00824E96"/>
    <w:rsid w:val="00825890"/>
    <w:rsid w:val="008267BE"/>
    <w:rsid w:val="00826DBC"/>
    <w:rsid w:val="008327F3"/>
    <w:rsid w:val="00832D97"/>
    <w:rsid w:val="00834A77"/>
    <w:rsid w:val="00836738"/>
    <w:rsid w:val="00837BFC"/>
    <w:rsid w:val="008404A2"/>
    <w:rsid w:val="0084093F"/>
    <w:rsid w:val="00840A6F"/>
    <w:rsid w:val="00841700"/>
    <w:rsid w:val="008430FB"/>
    <w:rsid w:val="008434B4"/>
    <w:rsid w:val="00843967"/>
    <w:rsid w:val="00843C78"/>
    <w:rsid w:val="00843C99"/>
    <w:rsid w:val="00844463"/>
    <w:rsid w:val="008458CC"/>
    <w:rsid w:val="00850DDE"/>
    <w:rsid w:val="00850F08"/>
    <w:rsid w:val="008513EF"/>
    <w:rsid w:val="00857042"/>
    <w:rsid w:val="008571E7"/>
    <w:rsid w:val="00860422"/>
    <w:rsid w:val="00860E4A"/>
    <w:rsid w:val="0086570F"/>
    <w:rsid w:val="00866E79"/>
    <w:rsid w:val="0087067E"/>
    <w:rsid w:val="00870F13"/>
    <w:rsid w:val="00872444"/>
    <w:rsid w:val="00872FDE"/>
    <w:rsid w:val="00873D93"/>
    <w:rsid w:val="008747A7"/>
    <w:rsid w:val="00874E85"/>
    <w:rsid w:val="008760C1"/>
    <w:rsid w:val="008766EC"/>
    <w:rsid w:val="0087721B"/>
    <w:rsid w:val="008810EE"/>
    <w:rsid w:val="00881F60"/>
    <w:rsid w:val="00882D12"/>
    <w:rsid w:val="00884544"/>
    <w:rsid w:val="0089115A"/>
    <w:rsid w:val="00892087"/>
    <w:rsid w:val="008920D0"/>
    <w:rsid w:val="0089280F"/>
    <w:rsid w:val="008947C6"/>
    <w:rsid w:val="00894AEE"/>
    <w:rsid w:val="00894F8E"/>
    <w:rsid w:val="008A073C"/>
    <w:rsid w:val="008A0F73"/>
    <w:rsid w:val="008A24E2"/>
    <w:rsid w:val="008B0C05"/>
    <w:rsid w:val="008B1A7C"/>
    <w:rsid w:val="008B29F9"/>
    <w:rsid w:val="008B2CA9"/>
    <w:rsid w:val="008B4A9E"/>
    <w:rsid w:val="008B4B3C"/>
    <w:rsid w:val="008B4E09"/>
    <w:rsid w:val="008B4EDF"/>
    <w:rsid w:val="008C0F3F"/>
    <w:rsid w:val="008C1236"/>
    <w:rsid w:val="008C15A4"/>
    <w:rsid w:val="008C3EB4"/>
    <w:rsid w:val="008C429E"/>
    <w:rsid w:val="008C70C9"/>
    <w:rsid w:val="008D06C2"/>
    <w:rsid w:val="008D0D2B"/>
    <w:rsid w:val="008D238C"/>
    <w:rsid w:val="008D253F"/>
    <w:rsid w:val="008D2A63"/>
    <w:rsid w:val="008D2EB5"/>
    <w:rsid w:val="008D30D4"/>
    <w:rsid w:val="008D4AF3"/>
    <w:rsid w:val="008D50C4"/>
    <w:rsid w:val="008D6C22"/>
    <w:rsid w:val="008D79AB"/>
    <w:rsid w:val="008E00CE"/>
    <w:rsid w:val="008E107D"/>
    <w:rsid w:val="008E28C7"/>
    <w:rsid w:val="008E3A65"/>
    <w:rsid w:val="008E431E"/>
    <w:rsid w:val="008E46D4"/>
    <w:rsid w:val="008E6207"/>
    <w:rsid w:val="008E6DBD"/>
    <w:rsid w:val="008F3065"/>
    <w:rsid w:val="008F347D"/>
    <w:rsid w:val="008F7554"/>
    <w:rsid w:val="00900953"/>
    <w:rsid w:val="0090417F"/>
    <w:rsid w:val="009041A6"/>
    <w:rsid w:val="009048CE"/>
    <w:rsid w:val="00904AB3"/>
    <w:rsid w:val="009054A9"/>
    <w:rsid w:val="00906E0B"/>
    <w:rsid w:val="009107EA"/>
    <w:rsid w:val="00910C2F"/>
    <w:rsid w:val="009120E1"/>
    <w:rsid w:val="00912422"/>
    <w:rsid w:val="00914605"/>
    <w:rsid w:val="00915E3F"/>
    <w:rsid w:val="00917495"/>
    <w:rsid w:val="009205F4"/>
    <w:rsid w:val="00921679"/>
    <w:rsid w:val="00922F49"/>
    <w:rsid w:val="0092644A"/>
    <w:rsid w:val="00926B08"/>
    <w:rsid w:val="00927538"/>
    <w:rsid w:val="00927ACA"/>
    <w:rsid w:val="009359A8"/>
    <w:rsid w:val="0093662B"/>
    <w:rsid w:val="00936C10"/>
    <w:rsid w:val="00936D69"/>
    <w:rsid w:val="0094031C"/>
    <w:rsid w:val="00940D45"/>
    <w:rsid w:val="009428C1"/>
    <w:rsid w:val="00942A9B"/>
    <w:rsid w:val="0094612B"/>
    <w:rsid w:val="0094634A"/>
    <w:rsid w:val="009469D5"/>
    <w:rsid w:val="009500A7"/>
    <w:rsid w:val="009537A4"/>
    <w:rsid w:val="009538B8"/>
    <w:rsid w:val="009574EE"/>
    <w:rsid w:val="009611EC"/>
    <w:rsid w:val="00961C2E"/>
    <w:rsid w:val="00962030"/>
    <w:rsid w:val="00964D00"/>
    <w:rsid w:val="009666D5"/>
    <w:rsid w:val="00967E2C"/>
    <w:rsid w:val="00967F38"/>
    <w:rsid w:val="00971EB0"/>
    <w:rsid w:val="00972475"/>
    <w:rsid w:val="00974369"/>
    <w:rsid w:val="009746F5"/>
    <w:rsid w:val="00977B29"/>
    <w:rsid w:val="00977BAB"/>
    <w:rsid w:val="00980391"/>
    <w:rsid w:val="0098207F"/>
    <w:rsid w:val="00982807"/>
    <w:rsid w:val="0098414F"/>
    <w:rsid w:val="00986B05"/>
    <w:rsid w:val="009909CF"/>
    <w:rsid w:val="0099126D"/>
    <w:rsid w:val="00991611"/>
    <w:rsid w:val="0099430E"/>
    <w:rsid w:val="009955BC"/>
    <w:rsid w:val="00995DE9"/>
    <w:rsid w:val="0099642B"/>
    <w:rsid w:val="009A08B7"/>
    <w:rsid w:val="009A1EA9"/>
    <w:rsid w:val="009A22D7"/>
    <w:rsid w:val="009A4775"/>
    <w:rsid w:val="009A5021"/>
    <w:rsid w:val="009B208A"/>
    <w:rsid w:val="009B24B9"/>
    <w:rsid w:val="009B4469"/>
    <w:rsid w:val="009B650F"/>
    <w:rsid w:val="009C0068"/>
    <w:rsid w:val="009C130B"/>
    <w:rsid w:val="009C1FFD"/>
    <w:rsid w:val="009C4FD3"/>
    <w:rsid w:val="009C543E"/>
    <w:rsid w:val="009C5E58"/>
    <w:rsid w:val="009C686C"/>
    <w:rsid w:val="009C6FA3"/>
    <w:rsid w:val="009D0531"/>
    <w:rsid w:val="009D1D29"/>
    <w:rsid w:val="009D29B9"/>
    <w:rsid w:val="009D31AF"/>
    <w:rsid w:val="009D4AB1"/>
    <w:rsid w:val="009D5186"/>
    <w:rsid w:val="009D6B68"/>
    <w:rsid w:val="009D79C3"/>
    <w:rsid w:val="009E5887"/>
    <w:rsid w:val="009E6171"/>
    <w:rsid w:val="009E7688"/>
    <w:rsid w:val="009F06E7"/>
    <w:rsid w:val="009F2791"/>
    <w:rsid w:val="009F2826"/>
    <w:rsid w:val="009F34C4"/>
    <w:rsid w:val="009F396D"/>
    <w:rsid w:val="009F55F1"/>
    <w:rsid w:val="009F612D"/>
    <w:rsid w:val="009F7331"/>
    <w:rsid w:val="00A0021B"/>
    <w:rsid w:val="00A00249"/>
    <w:rsid w:val="00A038FF"/>
    <w:rsid w:val="00A04A3A"/>
    <w:rsid w:val="00A0548E"/>
    <w:rsid w:val="00A11286"/>
    <w:rsid w:val="00A12B7C"/>
    <w:rsid w:val="00A1399A"/>
    <w:rsid w:val="00A1592C"/>
    <w:rsid w:val="00A1781A"/>
    <w:rsid w:val="00A17E03"/>
    <w:rsid w:val="00A20C0E"/>
    <w:rsid w:val="00A214B5"/>
    <w:rsid w:val="00A22E27"/>
    <w:rsid w:val="00A234FC"/>
    <w:rsid w:val="00A23F56"/>
    <w:rsid w:val="00A24BD3"/>
    <w:rsid w:val="00A26873"/>
    <w:rsid w:val="00A26AFB"/>
    <w:rsid w:val="00A270B0"/>
    <w:rsid w:val="00A273AC"/>
    <w:rsid w:val="00A333A1"/>
    <w:rsid w:val="00A368FC"/>
    <w:rsid w:val="00A4325A"/>
    <w:rsid w:val="00A4454F"/>
    <w:rsid w:val="00A44A8F"/>
    <w:rsid w:val="00A450B4"/>
    <w:rsid w:val="00A46629"/>
    <w:rsid w:val="00A46C64"/>
    <w:rsid w:val="00A53445"/>
    <w:rsid w:val="00A54809"/>
    <w:rsid w:val="00A5502B"/>
    <w:rsid w:val="00A55537"/>
    <w:rsid w:val="00A557B9"/>
    <w:rsid w:val="00A55D1A"/>
    <w:rsid w:val="00A55D5F"/>
    <w:rsid w:val="00A569D0"/>
    <w:rsid w:val="00A56A60"/>
    <w:rsid w:val="00A570EB"/>
    <w:rsid w:val="00A60619"/>
    <w:rsid w:val="00A61153"/>
    <w:rsid w:val="00A6127D"/>
    <w:rsid w:val="00A6384B"/>
    <w:rsid w:val="00A65D44"/>
    <w:rsid w:val="00A65FCC"/>
    <w:rsid w:val="00A66F4F"/>
    <w:rsid w:val="00A73262"/>
    <w:rsid w:val="00A74303"/>
    <w:rsid w:val="00A755E0"/>
    <w:rsid w:val="00A75BCE"/>
    <w:rsid w:val="00A75EEC"/>
    <w:rsid w:val="00A76B03"/>
    <w:rsid w:val="00A76BBF"/>
    <w:rsid w:val="00A8170C"/>
    <w:rsid w:val="00A81ECD"/>
    <w:rsid w:val="00A8225E"/>
    <w:rsid w:val="00A835F8"/>
    <w:rsid w:val="00A83A90"/>
    <w:rsid w:val="00A8506B"/>
    <w:rsid w:val="00A851B1"/>
    <w:rsid w:val="00A85648"/>
    <w:rsid w:val="00A86D0D"/>
    <w:rsid w:val="00A9074A"/>
    <w:rsid w:val="00A90D7F"/>
    <w:rsid w:val="00A92C43"/>
    <w:rsid w:val="00A93267"/>
    <w:rsid w:val="00A932C1"/>
    <w:rsid w:val="00A97B31"/>
    <w:rsid w:val="00AA3BA3"/>
    <w:rsid w:val="00AA638C"/>
    <w:rsid w:val="00AA6497"/>
    <w:rsid w:val="00AA7B27"/>
    <w:rsid w:val="00AB3707"/>
    <w:rsid w:val="00AB495C"/>
    <w:rsid w:val="00AB52C8"/>
    <w:rsid w:val="00AC03ED"/>
    <w:rsid w:val="00AC2E08"/>
    <w:rsid w:val="00AC42D7"/>
    <w:rsid w:val="00AC4CAD"/>
    <w:rsid w:val="00AC54C9"/>
    <w:rsid w:val="00AC7153"/>
    <w:rsid w:val="00AC762A"/>
    <w:rsid w:val="00AD1528"/>
    <w:rsid w:val="00AD1BF1"/>
    <w:rsid w:val="00AD2629"/>
    <w:rsid w:val="00AD348D"/>
    <w:rsid w:val="00AD4FD4"/>
    <w:rsid w:val="00AD7FF4"/>
    <w:rsid w:val="00AE0C81"/>
    <w:rsid w:val="00AE1859"/>
    <w:rsid w:val="00AE43E4"/>
    <w:rsid w:val="00AE4D67"/>
    <w:rsid w:val="00AE5D2A"/>
    <w:rsid w:val="00AE7BC5"/>
    <w:rsid w:val="00AF02A3"/>
    <w:rsid w:val="00AF7D29"/>
    <w:rsid w:val="00B00AA1"/>
    <w:rsid w:val="00B01B6F"/>
    <w:rsid w:val="00B01DE4"/>
    <w:rsid w:val="00B01FE0"/>
    <w:rsid w:val="00B0231C"/>
    <w:rsid w:val="00B06586"/>
    <w:rsid w:val="00B06822"/>
    <w:rsid w:val="00B10B69"/>
    <w:rsid w:val="00B13B17"/>
    <w:rsid w:val="00B16133"/>
    <w:rsid w:val="00B1663C"/>
    <w:rsid w:val="00B16A46"/>
    <w:rsid w:val="00B2140A"/>
    <w:rsid w:val="00B2242A"/>
    <w:rsid w:val="00B22872"/>
    <w:rsid w:val="00B22C6B"/>
    <w:rsid w:val="00B24FB0"/>
    <w:rsid w:val="00B257AF"/>
    <w:rsid w:val="00B274DD"/>
    <w:rsid w:val="00B27A0D"/>
    <w:rsid w:val="00B317AD"/>
    <w:rsid w:val="00B319CB"/>
    <w:rsid w:val="00B31EE0"/>
    <w:rsid w:val="00B32431"/>
    <w:rsid w:val="00B32D89"/>
    <w:rsid w:val="00B332B3"/>
    <w:rsid w:val="00B339E8"/>
    <w:rsid w:val="00B343B7"/>
    <w:rsid w:val="00B359D1"/>
    <w:rsid w:val="00B4051C"/>
    <w:rsid w:val="00B43D4B"/>
    <w:rsid w:val="00B45EF3"/>
    <w:rsid w:val="00B475C8"/>
    <w:rsid w:val="00B476BF"/>
    <w:rsid w:val="00B54EE6"/>
    <w:rsid w:val="00B56522"/>
    <w:rsid w:val="00B565FF"/>
    <w:rsid w:val="00B56A43"/>
    <w:rsid w:val="00B6025E"/>
    <w:rsid w:val="00B65E07"/>
    <w:rsid w:val="00B66090"/>
    <w:rsid w:val="00B661D9"/>
    <w:rsid w:val="00B66497"/>
    <w:rsid w:val="00B666D7"/>
    <w:rsid w:val="00B670C4"/>
    <w:rsid w:val="00B73AF6"/>
    <w:rsid w:val="00B74E8F"/>
    <w:rsid w:val="00B75187"/>
    <w:rsid w:val="00B7621C"/>
    <w:rsid w:val="00B81494"/>
    <w:rsid w:val="00B81F9C"/>
    <w:rsid w:val="00B8318D"/>
    <w:rsid w:val="00B83262"/>
    <w:rsid w:val="00B832FB"/>
    <w:rsid w:val="00B834B8"/>
    <w:rsid w:val="00B83C84"/>
    <w:rsid w:val="00B845B8"/>
    <w:rsid w:val="00B84641"/>
    <w:rsid w:val="00B850D0"/>
    <w:rsid w:val="00B85439"/>
    <w:rsid w:val="00B86E19"/>
    <w:rsid w:val="00B91BCB"/>
    <w:rsid w:val="00B91D9C"/>
    <w:rsid w:val="00B9403F"/>
    <w:rsid w:val="00B961E8"/>
    <w:rsid w:val="00B97ABE"/>
    <w:rsid w:val="00B97C68"/>
    <w:rsid w:val="00BA33B0"/>
    <w:rsid w:val="00BA5448"/>
    <w:rsid w:val="00BA65FE"/>
    <w:rsid w:val="00BB0F37"/>
    <w:rsid w:val="00BB2A21"/>
    <w:rsid w:val="00BB3022"/>
    <w:rsid w:val="00BB3109"/>
    <w:rsid w:val="00BB3771"/>
    <w:rsid w:val="00BB401C"/>
    <w:rsid w:val="00BB44B9"/>
    <w:rsid w:val="00BB44EF"/>
    <w:rsid w:val="00BB4742"/>
    <w:rsid w:val="00BB4E2C"/>
    <w:rsid w:val="00BB597D"/>
    <w:rsid w:val="00BB5D84"/>
    <w:rsid w:val="00BB7617"/>
    <w:rsid w:val="00BB7D47"/>
    <w:rsid w:val="00BC10BD"/>
    <w:rsid w:val="00BC156D"/>
    <w:rsid w:val="00BC2BF8"/>
    <w:rsid w:val="00BC42DE"/>
    <w:rsid w:val="00BC4745"/>
    <w:rsid w:val="00BD0991"/>
    <w:rsid w:val="00BD1193"/>
    <w:rsid w:val="00BD1647"/>
    <w:rsid w:val="00BD2F8B"/>
    <w:rsid w:val="00BD6403"/>
    <w:rsid w:val="00BE1959"/>
    <w:rsid w:val="00BE1AD4"/>
    <w:rsid w:val="00BE2A2F"/>
    <w:rsid w:val="00BE3A93"/>
    <w:rsid w:val="00BE4E62"/>
    <w:rsid w:val="00BE5A66"/>
    <w:rsid w:val="00BE6ECD"/>
    <w:rsid w:val="00BE775C"/>
    <w:rsid w:val="00BE7DB4"/>
    <w:rsid w:val="00BF18B2"/>
    <w:rsid w:val="00BF1B09"/>
    <w:rsid w:val="00BF2B38"/>
    <w:rsid w:val="00BF3B9A"/>
    <w:rsid w:val="00BF3FE9"/>
    <w:rsid w:val="00BF6099"/>
    <w:rsid w:val="00BF6300"/>
    <w:rsid w:val="00BF6669"/>
    <w:rsid w:val="00BF6DF2"/>
    <w:rsid w:val="00BF70DF"/>
    <w:rsid w:val="00BF7210"/>
    <w:rsid w:val="00BF7418"/>
    <w:rsid w:val="00BF7E6D"/>
    <w:rsid w:val="00C00580"/>
    <w:rsid w:val="00C009AB"/>
    <w:rsid w:val="00C01EE8"/>
    <w:rsid w:val="00C03AD9"/>
    <w:rsid w:val="00C04BC8"/>
    <w:rsid w:val="00C05845"/>
    <w:rsid w:val="00C05E85"/>
    <w:rsid w:val="00C10533"/>
    <w:rsid w:val="00C1066C"/>
    <w:rsid w:val="00C1198D"/>
    <w:rsid w:val="00C1312A"/>
    <w:rsid w:val="00C13354"/>
    <w:rsid w:val="00C149EC"/>
    <w:rsid w:val="00C15A53"/>
    <w:rsid w:val="00C1616D"/>
    <w:rsid w:val="00C210F3"/>
    <w:rsid w:val="00C23361"/>
    <w:rsid w:val="00C24491"/>
    <w:rsid w:val="00C24DB6"/>
    <w:rsid w:val="00C25709"/>
    <w:rsid w:val="00C303B8"/>
    <w:rsid w:val="00C307E4"/>
    <w:rsid w:val="00C30A35"/>
    <w:rsid w:val="00C30C83"/>
    <w:rsid w:val="00C31E0A"/>
    <w:rsid w:val="00C326F6"/>
    <w:rsid w:val="00C33711"/>
    <w:rsid w:val="00C33F17"/>
    <w:rsid w:val="00C34660"/>
    <w:rsid w:val="00C362EB"/>
    <w:rsid w:val="00C363DC"/>
    <w:rsid w:val="00C37753"/>
    <w:rsid w:val="00C40220"/>
    <w:rsid w:val="00C40B22"/>
    <w:rsid w:val="00C42E02"/>
    <w:rsid w:val="00C44465"/>
    <w:rsid w:val="00C4581D"/>
    <w:rsid w:val="00C4623E"/>
    <w:rsid w:val="00C47EE4"/>
    <w:rsid w:val="00C52262"/>
    <w:rsid w:val="00C52C81"/>
    <w:rsid w:val="00C55404"/>
    <w:rsid w:val="00C55430"/>
    <w:rsid w:val="00C55823"/>
    <w:rsid w:val="00C62158"/>
    <w:rsid w:val="00C641FF"/>
    <w:rsid w:val="00C642B9"/>
    <w:rsid w:val="00C65A31"/>
    <w:rsid w:val="00C65E77"/>
    <w:rsid w:val="00C66E42"/>
    <w:rsid w:val="00C71355"/>
    <w:rsid w:val="00C71ED0"/>
    <w:rsid w:val="00C72057"/>
    <w:rsid w:val="00C7396A"/>
    <w:rsid w:val="00C74342"/>
    <w:rsid w:val="00C74781"/>
    <w:rsid w:val="00C74916"/>
    <w:rsid w:val="00C77485"/>
    <w:rsid w:val="00C77E64"/>
    <w:rsid w:val="00C803D3"/>
    <w:rsid w:val="00C80F39"/>
    <w:rsid w:val="00C818D7"/>
    <w:rsid w:val="00C82838"/>
    <w:rsid w:val="00C845FC"/>
    <w:rsid w:val="00C84A7E"/>
    <w:rsid w:val="00C850C0"/>
    <w:rsid w:val="00C85E64"/>
    <w:rsid w:val="00C87224"/>
    <w:rsid w:val="00C87EBE"/>
    <w:rsid w:val="00C90CE6"/>
    <w:rsid w:val="00C90DE8"/>
    <w:rsid w:val="00C90DF4"/>
    <w:rsid w:val="00C91CC1"/>
    <w:rsid w:val="00C926DF"/>
    <w:rsid w:val="00C92F1F"/>
    <w:rsid w:val="00C92FB6"/>
    <w:rsid w:val="00C9350B"/>
    <w:rsid w:val="00C935BB"/>
    <w:rsid w:val="00C93669"/>
    <w:rsid w:val="00C93D5F"/>
    <w:rsid w:val="00C95FB0"/>
    <w:rsid w:val="00C96F51"/>
    <w:rsid w:val="00C979A2"/>
    <w:rsid w:val="00CA0E2C"/>
    <w:rsid w:val="00CA15C0"/>
    <w:rsid w:val="00CA6AF3"/>
    <w:rsid w:val="00CB0744"/>
    <w:rsid w:val="00CB076F"/>
    <w:rsid w:val="00CB2E14"/>
    <w:rsid w:val="00CB3053"/>
    <w:rsid w:val="00CB3979"/>
    <w:rsid w:val="00CB4328"/>
    <w:rsid w:val="00CB63AD"/>
    <w:rsid w:val="00CB6448"/>
    <w:rsid w:val="00CB6BFA"/>
    <w:rsid w:val="00CC011C"/>
    <w:rsid w:val="00CC08F4"/>
    <w:rsid w:val="00CC0FFC"/>
    <w:rsid w:val="00CC1333"/>
    <w:rsid w:val="00CC1B1E"/>
    <w:rsid w:val="00CC4CA1"/>
    <w:rsid w:val="00CC69E2"/>
    <w:rsid w:val="00CD0E4E"/>
    <w:rsid w:val="00CD2AFD"/>
    <w:rsid w:val="00CD2DA7"/>
    <w:rsid w:val="00CD726B"/>
    <w:rsid w:val="00CD74D3"/>
    <w:rsid w:val="00CE3838"/>
    <w:rsid w:val="00CE5B50"/>
    <w:rsid w:val="00CE7235"/>
    <w:rsid w:val="00CF14FB"/>
    <w:rsid w:val="00CF2EA6"/>
    <w:rsid w:val="00CF5C75"/>
    <w:rsid w:val="00CF61BA"/>
    <w:rsid w:val="00CF6957"/>
    <w:rsid w:val="00D0019C"/>
    <w:rsid w:val="00D013CF"/>
    <w:rsid w:val="00D01A9F"/>
    <w:rsid w:val="00D046F9"/>
    <w:rsid w:val="00D061ED"/>
    <w:rsid w:val="00D06709"/>
    <w:rsid w:val="00D06E5D"/>
    <w:rsid w:val="00D113A9"/>
    <w:rsid w:val="00D117ED"/>
    <w:rsid w:val="00D13943"/>
    <w:rsid w:val="00D15646"/>
    <w:rsid w:val="00D15A2A"/>
    <w:rsid w:val="00D161A1"/>
    <w:rsid w:val="00D204E1"/>
    <w:rsid w:val="00D21E36"/>
    <w:rsid w:val="00D22404"/>
    <w:rsid w:val="00D2317B"/>
    <w:rsid w:val="00D2348D"/>
    <w:rsid w:val="00D25221"/>
    <w:rsid w:val="00D264A5"/>
    <w:rsid w:val="00D2754E"/>
    <w:rsid w:val="00D326AF"/>
    <w:rsid w:val="00D32889"/>
    <w:rsid w:val="00D32E0F"/>
    <w:rsid w:val="00D33A5B"/>
    <w:rsid w:val="00D33FB0"/>
    <w:rsid w:val="00D3573F"/>
    <w:rsid w:val="00D36DC6"/>
    <w:rsid w:val="00D370BF"/>
    <w:rsid w:val="00D37129"/>
    <w:rsid w:val="00D42301"/>
    <w:rsid w:val="00D42BF5"/>
    <w:rsid w:val="00D44342"/>
    <w:rsid w:val="00D4577E"/>
    <w:rsid w:val="00D470D7"/>
    <w:rsid w:val="00D473C4"/>
    <w:rsid w:val="00D47FB4"/>
    <w:rsid w:val="00D50B25"/>
    <w:rsid w:val="00D5156D"/>
    <w:rsid w:val="00D53B63"/>
    <w:rsid w:val="00D54F74"/>
    <w:rsid w:val="00D5657F"/>
    <w:rsid w:val="00D56BFA"/>
    <w:rsid w:val="00D62CA4"/>
    <w:rsid w:val="00D630E2"/>
    <w:rsid w:val="00D64CFF"/>
    <w:rsid w:val="00D64F93"/>
    <w:rsid w:val="00D65320"/>
    <w:rsid w:val="00D6713A"/>
    <w:rsid w:val="00D6732D"/>
    <w:rsid w:val="00D67578"/>
    <w:rsid w:val="00D70259"/>
    <w:rsid w:val="00D70263"/>
    <w:rsid w:val="00D715A9"/>
    <w:rsid w:val="00D716B2"/>
    <w:rsid w:val="00D77210"/>
    <w:rsid w:val="00D8109A"/>
    <w:rsid w:val="00D81E21"/>
    <w:rsid w:val="00D8584C"/>
    <w:rsid w:val="00D86413"/>
    <w:rsid w:val="00D864F6"/>
    <w:rsid w:val="00D91D06"/>
    <w:rsid w:val="00D930CA"/>
    <w:rsid w:val="00D94689"/>
    <w:rsid w:val="00D947C7"/>
    <w:rsid w:val="00D95444"/>
    <w:rsid w:val="00D95638"/>
    <w:rsid w:val="00D95C40"/>
    <w:rsid w:val="00D9651F"/>
    <w:rsid w:val="00D9776D"/>
    <w:rsid w:val="00D97CBD"/>
    <w:rsid w:val="00DA1CB8"/>
    <w:rsid w:val="00DA1CBE"/>
    <w:rsid w:val="00DA3293"/>
    <w:rsid w:val="00DA3826"/>
    <w:rsid w:val="00DA4714"/>
    <w:rsid w:val="00DA4EE1"/>
    <w:rsid w:val="00DA50E6"/>
    <w:rsid w:val="00DA627E"/>
    <w:rsid w:val="00DA768D"/>
    <w:rsid w:val="00DB033F"/>
    <w:rsid w:val="00DB0C82"/>
    <w:rsid w:val="00DB224B"/>
    <w:rsid w:val="00DB2DC9"/>
    <w:rsid w:val="00DB358E"/>
    <w:rsid w:val="00DB4351"/>
    <w:rsid w:val="00DB593E"/>
    <w:rsid w:val="00DB6367"/>
    <w:rsid w:val="00DB6D96"/>
    <w:rsid w:val="00DB6ED7"/>
    <w:rsid w:val="00DB7F2E"/>
    <w:rsid w:val="00DB7FDF"/>
    <w:rsid w:val="00DC30A3"/>
    <w:rsid w:val="00DC436D"/>
    <w:rsid w:val="00DC4707"/>
    <w:rsid w:val="00DC5564"/>
    <w:rsid w:val="00DC5C1F"/>
    <w:rsid w:val="00DC74D9"/>
    <w:rsid w:val="00DC7A98"/>
    <w:rsid w:val="00DD05D1"/>
    <w:rsid w:val="00DD1D7F"/>
    <w:rsid w:val="00DD2BDC"/>
    <w:rsid w:val="00DD56E5"/>
    <w:rsid w:val="00DD667E"/>
    <w:rsid w:val="00DD67BE"/>
    <w:rsid w:val="00DE0073"/>
    <w:rsid w:val="00DE7074"/>
    <w:rsid w:val="00DE70A0"/>
    <w:rsid w:val="00DF01C3"/>
    <w:rsid w:val="00DF14C3"/>
    <w:rsid w:val="00DF1547"/>
    <w:rsid w:val="00DF220E"/>
    <w:rsid w:val="00DF3540"/>
    <w:rsid w:val="00DF7CD3"/>
    <w:rsid w:val="00E0005A"/>
    <w:rsid w:val="00E00A11"/>
    <w:rsid w:val="00E02A11"/>
    <w:rsid w:val="00E03183"/>
    <w:rsid w:val="00E03BCA"/>
    <w:rsid w:val="00E03E4C"/>
    <w:rsid w:val="00E06B8B"/>
    <w:rsid w:val="00E06CC7"/>
    <w:rsid w:val="00E079A6"/>
    <w:rsid w:val="00E10C51"/>
    <w:rsid w:val="00E10EB5"/>
    <w:rsid w:val="00E11F82"/>
    <w:rsid w:val="00E13F68"/>
    <w:rsid w:val="00E14442"/>
    <w:rsid w:val="00E14CDB"/>
    <w:rsid w:val="00E156C1"/>
    <w:rsid w:val="00E15DBA"/>
    <w:rsid w:val="00E17628"/>
    <w:rsid w:val="00E21BC9"/>
    <w:rsid w:val="00E221E8"/>
    <w:rsid w:val="00E25A41"/>
    <w:rsid w:val="00E27A86"/>
    <w:rsid w:val="00E300B5"/>
    <w:rsid w:val="00E30DF6"/>
    <w:rsid w:val="00E33B71"/>
    <w:rsid w:val="00E3571D"/>
    <w:rsid w:val="00E35832"/>
    <w:rsid w:val="00E374AB"/>
    <w:rsid w:val="00E40B0B"/>
    <w:rsid w:val="00E415B9"/>
    <w:rsid w:val="00E41A90"/>
    <w:rsid w:val="00E41EA4"/>
    <w:rsid w:val="00E4476D"/>
    <w:rsid w:val="00E451B1"/>
    <w:rsid w:val="00E471B5"/>
    <w:rsid w:val="00E52158"/>
    <w:rsid w:val="00E534CE"/>
    <w:rsid w:val="00E55631"/>
    <w:rsid w:val="00E55685"/>
    <w:rsid w:val="00E563DE"/>
    <w:rsid w:val="00E57A98"/>
    <w:rsid w:val="00E57F1B"/>
    <w:rsid w:val="00E61552"/>
    <w:rsid w:val="00E6391F"/>
    <w:rsid w:val="00E63E98"/>
    <w:rsid w:val="00E641A1"/>
    <w:rsid w:val="00E643BC"/>
    <w:rsid w:val="00E64ED9"/>
    <w:rsid w:val="00E66D22"/>
    <w:rsid w:val="00E66F84"/>
    <w:rsid w:val="00E71C4B"/>
    <w:rsid w:val="00E72A36"/>
    <w:rsid w:val="00E76DAA"/>
    <w:rsid w:val="00E77E6D"/>
    <w:rsid w:val="00E80485"/>
    <w:rsid w:val="00E81B37"/>
    <w:rsid w:val="00E826EE"/>
    <w:rsid w:val="00E83D1E"/>
    <w:rsid w:val="00E84C60"/>
    <w:rsid w:val="00E91328"/>
    <w:rsid w:val="00E92526"/>
    <w:rsid w:val="00E940DB"/>
    <w:rsid w:val="00E950E5"/>
    <w:rsid w:val="00E95E67"/>
    <w:rsid w:val="00E96ECF"/>
    <w:rsid w:val="00E97220"/>
    <w:rsid w:val="00E974E5"/>
    <w:rsid w:val="00EA421A"/>
    <w:rsid w:val="00EA6BF0"/>
    <w:rsid w:val="00EB139F"/>
    <w:rsid w:val="00EB190F"/>
    <w:rsid w:val="00EB3A97"/>
    <w:rsid w:val="00EB5300"/>
    <w:rsid w:val="00EB576C"/>
    <w:rsid w:val="00EB5E1B"/>
    <w:rsid w:val="00EB693D"/>
    <w:rsid w:val="00EB7C58"/>
    <w:rsid w:val="00EC05A9"/>
    <w:rsid w:val="00EC1315"/>
    <w:rsid w:val="00EC2AF6"/>
    <w:rsid w:val="00EC64D8"/>
    <w:rsid w:val="00EC6AF8"/>
    <w:rsid w:val="00EC766A"/>
    <w:rsid w:val="00ED0BAD"/>
    <w:rsid w:val="00ED2BE3"/>
    <w:rsid w:val="00ED3B54"/>
    <w:rsid w:val="00ED5737"/>
    <w:rsid w:val="00ED6388"/>
    <w:rsid w:val="00ED6590"/>
    <w:rsid w:val="00ED709C"/>
    <w:rsid w:val="00ED7247"/>
    <w:rsid w:val="00EE1366"/>
    <w:rsid w:val="00EE13F6"/>
    <w:rsid w:val="00EE3964"/>
    <w:rsid w:val="00EE5A63"/>
    <w:rsid w:val="00EE5C35"/>
    <w:rsid w:val="00EE5E52"/>
    <w:rsid w:val="00EE6662"/>
    <w:rsid w:val="00EF0073"/>
    <w:rsid w:val="00EF14A5"/>
    <w:rsid w:val="00EF3704"/>
    <w:rsid w:val="00EF4982"/>
    <w:rsid w:val="00EF5573"/>
    <w:rsid w:val="00EF5A67"/>
    <w:rsid w:val="00EF7EA2"/>
    <w:rsid w:val="00F0043B"/>
    <w:rsid w:val="00F005B8"/>
    <w:rsid w:val="00F00781"/>
    <w:rsid w:val="00F022CD"/>
    <w:rsid w:val="00F02846"/>
    <w:rsid w:val="00F03D76"/>
    <w:rsid w:val="00F04F2D"/>
    <w:rsid w:val="00F064DB"/>
    <w:rsid w:val="00F1046F"/>
    <w:rsid w:val="00F12ADC"/>
    <w:rsid w:val="00F13107"/>
    <w:rsid w:val="00F13810"/>
    <w:rsid w:val="00F15988"/>
    <w:rsid w:val="00F166B2"/>
    <w:rsid w:val="00F173C0"/>
    <w:rsid w:val="00F225FF"/>
    <w:rsid w:val="00F25B47"/>
    <w:rsid w:val="00F27FB3"/>
    <w:rsid w:val="00F301E5"/>
    <w:rsid w:val="00F30DB3"/>
    <w:rsid w:val="00F30DE7"/>
    <w:rsid w:val="00F30E8C"/>
    <w:rsid w:val="00F31548"/>
    <w:rsid w:val="00F326B1"/>
    <w:rsid w:val="00F34838"/>
    <w:rsid w:val="00F34990"/>
    <w:rsid w:val="00F40B6D"/>
    <w:rsid w:val="00F4218D"/>
    <w:rsid w:val="00F4280B"/>
    <w:rsid w:val="00F43CF8"/>
    <w:rsid w:val="00F44613"/>
    <w:rsid w:val="00F44700"/>
    <w:rsid w:val="00F45450"/>
    <w:rsid w:val="00F50DD8"/>
    <w:rsid w:val="00F5210E"/>
    <w:rsid w:val="00F531B0"/>
    <w:rsid w:val="00F54251"/>
    <w:rsid w:val="00F55922"/>
    <w:rsid w:val="00F603E9"/>
    <w:rsid w:val="00F60A47"/>
    <w:rsid w:val="00F610E0"/>
    <w:rsid w:val="00F61FFB"/>
    <w:rsid w:val="00F628F2"/>
    <w:rsid w:val="00F63482"/>
    <w:rsid w:val="00F65F28"/>
    <w:rsid w:val="00F6622A"/>
    <w:rsid w:val="00F6716A"/>
    <w:rsid w:val="00F716E8"/>
    <w:rsid w:val="00F71902"/>
    <w:rsid w:val="00F73C3E"/>
    <w:rsid w:val="00F75CE5"/>
    <w:rsid w:val="00F774F3"/>
    <w:rsid w:val="00F77F6E"/>
    <w:rsid w:val="00F81D49"/>
    <w:rsid w:val="00F83305"/>
    <w:rsid w:val="00F854DF"/>
    <w:rsid w:val="00F85F8C"/>
    <w:rsid w:val="00F86047"/>
    <w:rsid w:val="00F90FA6"/>
    <w:rsid w:val="00F910BD"/>
    <w:rsid w:val="00F92BD5"/>
    <w:rsid w:val="00F934CD"/>
    <w:rsid w:val="00F9377E"/>
    <w:rsid w:val="00F94677"/>
    <w:rsid w:val="00F95017"/>
    <w:rsid w:val="00F9541C"/>
    <w:rsid w:val="00F965FF"/>
    <w:rsid w:val="00F967AB"/>
    <w:rsid w:val="00F96991"/>
    <w:rsid w:val="00FA0242"/>
    <w:rsid w:val="00FA0441"/>
    <w:rsid w:val="00FA1E4D"/>
    <w:rsid w:val="00FA2C8E"/>
    <w:rsid w:val="00FA4A9E"/>
    <w:rsid w:val="00FA575C"/>
    <w:rsid w:val="00FA5D56"/>
    <w:rsid w:val="00FA6988"/>
    <w:rsid w:val="00FA706E"/>
    <w:rsid w:val="00FA7A3E"/>
    <w:rsid w:val="00FB0C93"/>
    <w:rsid w:val="00FB495E"/>
    <w:rsid w:val="00FB604D"/>
    <w:rsid w:val="00FB65F6"/>
    <w:rsid w:val="00FB75D8"/>
    <w:rsid w:val="00FC26FE"/>
    <w:rsid w:val="00FC4902"/>
    <w:rsid w:val="00FC774D"/>
    <w:rsid w:val="00FC789E"/>
    <w:rsid w:val="00FD0A27"/>
    <w:rsid w:val="00FD1716"/>
    <w:rsid w:val="00FD1EDD"/>
    <w:rsid w:val="00FD256F"/>
    <w:rsid w:val="00FD2F8A"/>
    <w:rsid w:val="00FD6C05"/>
    <w:rsid w:val="00FE1882"/>
    <w:rsid w:val="00FE30FD"/>
    <w:rsid w:val="00FE438A"/>
    <w:rsid w:val="00FE4835"/>
    <w:rsid w:val="00FE52B1"/>
    <w:rsid w:val="00FE57D4"/>
    <w:rsid w:val="00FE65C8"/>
    <w:rsid w:val="00FE6DF0"/>
    <w:rsid w:val="00FF1B68"/>
    <w:rsid w:val="00FF249F"/>
    <w:rsid w:val="00FF31C2"/>
    <w:rsid w:val="00FF360B"/>
    <w:rsid w:val="00FF407D"/>
    <w:rsid w:val="00FF4986"/>
    <w:rsid w:val="00FF5B61"/>
    <w:rsid w:val="00FF6DC8"/>
    <w:rsid w:val="00FF713D"/>
    <w:rsid w:val="05A34C63"/>
    <w:rsid w:val="0DAB7068"/>
    <w:rsid w:val="17F03EF4"/>
    <w:rsid w:val="71716BD0"/>
    <w:rsid w:val="73B6332E"/>
    <w:rsid w:val="746354EE"/>
    <w:rsid w:val="76C05530"/>
    <w:rsid w:val="780B51C1"/>
    <w:rsid w:val="FB99FB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firstLine="200" w:firstLineChars="200"/>
      <w:jc w:val="both"/>
    </w:pPr>
    <w:rPr>
      <w:rFonts w:ascii="宋体" w:hAnsi="宋体" w:eastAsia="宋体" w:cstheme="minorBidi"/>
      <w:kern w:val="2"/>
      <w:sz w:val="24"/>
      <w:szCs w:val="22"/>
      <w:lang w:val="en-US" w:eastAsia="zh-CN" w:bidi="ar-SA"/>
    </w:rPr>
  </w:style>
  <w:style w:type="paragraph" w:styleId="2">
    <w:name w:val="heading 1"/>
    <w:basedOn w:val="1"/>
    <w:next w:val="1"/>
    <w:link w:val="25"/>
    <w:qFormat/>
    <w:uiPriority w:val="0"/>
    <w:pPr>
      <w:outlineLvl w:val="0"/>
    </w:pPr>
    <w:rPr>
      <w:rFonts w:ascii="Calibri" w:hAnsi="Calibri" w:eastAsia="黑体" w:cs="Times New Roman"/>
      <w:b/>
    </w:rPr>
  </w:style>
  <w:style w:type="paragraph" w:styleId="3">
    <w:name w:val="heading 2"/>
    <w:basedOn w:val="1"/>
    <w:next w:val="1"/>
    <w:link w:val="30"/>
    <w:unhideWhenUsed/>
    <w:qFormat/>
    <w:uiPriority w:val="0"/>
    <w:pPr>
      <w:keepNext/>
      <w:keepLines/>
      <w:outlineLvl w:val="1"/>
    </w:pPr>
    <w:rPr>
      <w:rFonts w:eastAsia="黑体" w:asciiTheme="majorHAnsi" w:hAnsiTheme="majorHAnsi" w:cstheme="majorBidi"/>
      <w:b/>
      <w:bCs/>
      <w:szCs w:val="32"/>
    </w:rPr>
  </w:style>
  <w:style w:type="paragraph" w:styleId="4">
    <w:name w:val="heading 3"/>
    <w:basedOn w:val="1"/>
    <w:next w:val="1"/>
    <w:link w:val="31"/>
    <w:unhideWhenUsed/>
    <w:qFormat/>
    <w:uiPriority w:val="0"/>
    <w:pPr>
      <w:keepNext/>
      <w:keepLines/>
      <w:outlineLvl w:val="2"/>
    </w:pPr>
    <w:rPr>
      <w:rFonts w:ascii="黑体" w:hAnsi="黑体" w:eastAsia="黑体"/>
      <w:b/>
      <w:bCs/>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1260"/>
      <w:jc w:val="left"/>
    </w:pPr>
    <w:rPr>
      <w:rFonts w:cstheme="minorHAnsi"/>
      <w:sz w:val="18"/>
      <w:szCs w:val="18"/>
    </w:rPr>
  </w:style>
  <w:style w:type="paragraph" w:styleId="6">
    <w:name w:val="toc 5"/>
    <w:basedOn w:val="1"/>
    <w:next w:val="1"/>
    <w:qFormat/>
    <w:uiPriority w:val="0"/>
    <w:pPr>
      <w:ind w:left="840"/>
      <w:jc w:val="left"/>
    </w:pPr>
    <w:rPr>
      <w:rFonts w:cstheme="minorHAnsi"/>
      <w:sz w:val="18"/>
      <w:szCs w:val="18"/>
    </w:rPr>
  </w:style>
  <w:style w:type="paragraph" w:styleId="7">
    <w:name w:val="toc 3"/>
    <w:basedOn w:val="1"/>
    <w:next w:val="1"/>
    <w:qFormat/>
    <w:uiPriority w:val="39"/>
    <w:pPr>
      <w:ind w:left="420"/>
      <w:jc w:val="left"/>
    </w:pPr>
    <w:rPr>
      <w:rFonts w:cstheme="minorHAnsi"/>
      <w:i/>
      <w:iCs/>
      <w:sz w:val="20"/>
      <w:szCs w:val="20"/>
    </w:rPr>
  </w:style>
  <w:style w:type="paragraph" w:styleId="8">
    <w:name w:val="toc 8"/>
    <w:basedOn w:val="1"/>
    <w:next w:val="1"/>
    <w:qFormat/>
    <w:uiPriority w:val="0"/>
    <w:pPr>
      <w:ind w:left="1470"/>
      <w:jc w:val="left"/>
    </w:pPr>
    <w:rPr>
      <w:rFonts w:cstheme="minorHAnsi"/>
      <w:sz w:val="18"/>
      <w:szCs w:val="18"/>
    </w:rPr>
  </w:style>
  <w:style w:type="paragraph" w:styleId="9">
    <w:name w:val="Date"/>
    <w:basedOn w:val="1"/>
    <w:next w:val="1"/>
    <w:qFormat/>
    <w:uiPriority w:val="0"/>
    <w:rPr>
      <w:rFonts w:ascii="仿宋_GB2312" w:eastAsia="仿宋_GB2312"/>
      <w:sz w:val="32"/>
    </w:rPr>
  </w:style>
  <w:style w:type="paragraph" w:styleId="10">
    <w:name w:val="Balloon Text"/>
    <w:basedOn w:val="1"/>
    <w:link w:val="28"/>
    <w:qFormat/>
    <w:uiPriority w:val="0"/>
    <w:rPr>
      <w:sz w:val="18"/>
      <w:szCs w:val="18"/>
    </w:rPr>
  </w:style>
  <w:style w:type="paragraph" w:styleId="11">
    <w:name w:val="footer"/>
    <w:basedOn w:val="1"/>
    <w:link w:val="24"/>
    <w:qFormat/>
    <w:uiPriority w:val="99"/>
    <w:pPr>
      <w:tabs>
        <w:tab w:val="center" w:pos="4153"/>
        <w:tab w:val="right" w:pos="8306"/>
      </w:tabs>
      <w:snapToGrid w:val="0"/>
      <w:jc w:val="left"/>
    </w:pPr>
    <w:rPr>
      <w:sz w:val="18"/>
      <w:szCs w:val="18"/>
    </w:rPr>
  </w:style>
  <w:style w:type="paragraph" w:styleId="12">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jc w:val="left"/>
    </w:pPr>
    <w:rPr>
      <w:rFonts w:cstheme="minorHAnsi"/>
      <w:b/>
      <w:bCs/>
      <w:caps/>
      <w:sz w:val="20"/>
      <w:szCs w:val="20"/>
    </w:rPr>
  </w:style>
  <w:style w:type="paragraph" w:styleId="14">
    <w:name w:val="toc 4"/>
    <w:basedOn w:val="1"/>
    <w:next w:val="1"/>
    <w:qFormat/>
    <w:uiPriority w:val="0"/>
    <w:pPr>
      <w:ind w:left="630"/>
      <w:jc w:val="left"/>
    </w:pPr>
    <w:rPr>
      <w:rFonts w:cstheme="minorHAnsi"/>
      <w:sz w:val="18"/>
      <w:szCs w:val="18"/>
    </w:rPr>
  </w:style>
  <w:style w:type="paragraph" w:styleId="15">
    <w:name w:val="toc 6"/>
    <w:basedOn w:val="1"/>
    <w:next w:val="1"/>
    <w:qFormat/>
    <w:uiPriority w:val="0"/>
    <w:pPr>
      <w:ind w:left="1050"/>
      <w:jc w:val="left"/>
    </w:pPr>
    <w:rPr>
      <w:rFonts w:cstheme="minorHAnsi"/>
      <w:sz w:val="18"/>
      <w:szCs w:val="18"/>
    </w:rPr>
  </w:style>
  <w:style w:type="paragraph" w:styleId="16">
    <w:name w:val="toc 2"/>
    <w:basedOn w:val="1"/>
    <w:next w:val="1"/>
    <w:qFormat/>
    <w:uiPriority w:val="39"/>
    <w:pPr>
      <w:ind w:left="210"/>
      <w:jc w:val="left"/>
    </w:pPr>
    <w:rPr>
      <w:rFonts w:cstheme="minorHAnsi"/>
      <w:smallCaps/>
      <w:sz w:val="20"/>
      <w:szCs w:val="20"/>
    </w:rPr>
  </w:style>
  <w:style w:type="paragraph" w:styleId="17">
    <w:name w:val="toc 9"/>
    <w:basedOn w:val="1"/>
    <w:next w:val="1"/>
    <w:qFormat/>
    <w:uiPriority w:val="0"/>
    <w:pPr>
      <w:ind w:left="1680"/>
      <w:jc w:val="left"/>
    </w:pPr>
    <w:rPr>
      <w:rFonts w:cstheme="minorHAnsi"/>
      <w:sz w:val="18"/>
      <w:szCs w:val="18"/>
    </w:rPr>
  </w:style>
  <w:style w:type="paragraph" w:styleId="18">
    <w:name w:val="Normal (Web)"/>
    <w:basedOn w:val="1"/>
    <w:qFormat/>
    <w:uiPriority w:val="0"/>
    <w:pPr>
      <w:spacing w:beforeAutospacing="1" w:afterAutospacing="1"/>
      <w:jc w:val="left"/>
    </w:pPr>
    <w:rPr>
      <w:rFonts w:cs="Times New Roman"/>
      <w:kern w:val="0"/>
    </w:rPr>
  </w:style>
  <w:style w:type="table" w:styleId="20">
    <w:name w:val="Table Grid"/>
    <w:basedOn w:val="1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basedOn w:val="21"/>
    <w:unhideWhenUsed/>
    <w:qFormat/>
    <w:uiPriority w:val="99"/>
    <w:rPr>
      <w:color w:val="0563C1" w:themeColor="hyperlink"/>
      <w:u w:val="single"/>
    </w:rPr>
  </w:style>
  <w:style w:type="character" w:customStyle="1" w:styleId="23">
    <w:name w:val="页眉 Char"/>
    <w:basedOn w:val="21"/>
    <w:link w:val="12"/>
    <w:qFormat/>
    <w:uiPriority w:val="0"/>
    <w:rPr>
      <w:rFonts w:eastAsia="宋体"/>
      <w:kern w:val="2"/>
      <w:sz w:val="18"/>
      <w:szCs w:val="18"/>
    </w:rPr>
  </w:style>
  <w:style w:type="character" w:customStyle="1" w:styleId="24">
    <w:name w:val="页脚 Char"/>
    <w:basedOn w:val="21"/>
    <w:link w:val="11"/>
    <w:qFormat/>
    <w:uiPriority w:val="99"/>
    <w:rPr>
      <w:rFonts w:eastAsia="宋体"/>
      <w:kern w:val="2"/>
      <w:sz w:val="18"/>
      <w:szCs w:val="18"/>
    </w:rPr>
  </w:style>
  <w:style w:type="character" w:customStyle="1" w:styleId="25">
    <w:name w:val="标题 1 Char"/>
    <w:basedOn w:val="21"/>
    <w:link w:val="2"/>
    <w:qFormat/>
    <w:uiPriority w:val="0"/>
    <w:rPr>
      <w:rFonts w:ascii="Calibri" w:hAnsi="Calibri" w:eastAsia="黑体" w:cs="Times New Roman"/>
      <w:b/>
      <w:kern w:val="2"/>
      <w:sz w:val="24"/>
      <w:szCs w:val="22"/>
    </w:rPr>
  </w:style>
  <w:style w:type="paragraph" w:customStyle="1" w:styleId="26">
    <w:name w:val="列出段落1"/>
    <w:basedOn w:val="1"/>
    <w:qFormat/>
    <w:uiPriority w:val="0"/>
    <w:pPr>
      <w:spacing w:line="360" w:lineRule="auto"/>
      <w:ind w:firstLine="420"/>
    </w:pPr>
    <w:rPr>
      <w:rFonts w:ascii="Calibri" w:hAnsi="Calibri" w:eastAsia="仿宋_GB2312" w:cs="Times New Roman"/>
    </w:rPr>
  </w:style>
  <w:style w:type="paragraph" w:customStyle="1" w:styleId="27">
    <w:name w:val="TOC 标题1"/>
    <w:basedOn w:val="2"/>
    <w:next w:val="1"/>
    <w:unhideWhenUsed/>
    <w:qFormat/>
    <w:uiPriority w:val="39"/>
    <w:pPr>
      <w:keepNext/>
      <w:keepLines/>
      <w:widowControl/>
      <w:spacing w:before="480" w:line="276" w:lineRule="auto"/>
      <w:jc w:val="left"/>
      <w:outlineLvl w:val="9"/>
    </w:pPr>
    <w:rPr>
      <w:rFonts w:asciiTheme="majorHAnsi" w:hAnsiTheme="majorHAnsi" w:eastAsiaTheme="majorEastAsia" w:cstheme="majorBidi"/>
      <w:bCs/>
      <w:color w:val="2E75B5" w:themeColor="accent1" w:themeShade="BF"/>
      <w:kern w:val="0"/>
      <w:szCs w:val="28"/>
    </w:rPr>
  </w:style>
  <w:style w:type="character" w:customStyle="1" w:styleId="28">
    <w:name w:val="批注框文本 Char"/>
    <w:basedOn w:val="21"/>
    <w:link w:val="10"/>
    <w:qFormat/>
    <w:uiPriority w:val="0"/>
    <w:rPr>
      <w:rFonts w:eastAsia="宋体"/>
      <w:kern w:val="2"/>
      <w:sz w:val="18"/>
      <w:szCs w:val="18"/>
    </w:rPr>
  </w:style>
  <w:style w:type="paragraph" w:styleId="29">
    <w:name w:val="List Paragraph"/>
    <w:basedOn w:val="1"/>
    <w:unhideWhenUsed/>
    <w:qFormat/>
    <w:uiPriority w:val="99"/>
    <w:pPr>
      <w:ind w:firstLine="420"/>
    </w:pPr>
  </w:style>
  <w:style w:type="character" w:customStyle="1" w:styleId="30">
    <w:name w:val="标题 2 Char"/>
    <w:basedOn w:val="21"/>
    <w:link w:val="3"/>
    <w:qFormat/>
    <w:uiPriority w:val="0"/>
    <w:rPr>
      <w:rFonts w:eastAsia="黑体" w:asciiTheme="majorHAnsi" w:hAnsiTheme="majorHAnsi" w:cstheme="majorBidi"/>
      <w:b/>
      <w:bCs/>
      <w:kern w:val="2"/>
      <w:sz w:val="24"/>
      <w:szCs w:val="32"/>
    </w:rPr>
  </w:style>
  <w:style w:type="character" w:customStyle="1" w:styleId="31">
    <w:name w:val="标题 3 Char"/>
    <w:basedOn w:val="21"/>
    <w:link w:val="4"/>
    <w:qFormat/>
    <w:uiPriority w:val="0"/>
    <w:rPr>
      <w:rFonts w:ascii="黑体" w:hAnsi="黑体" w:eastAsia="黑体"/>
      <w:b/>
      <w:bCs/>
      <w:kern w:val="2"/>
      <w:sz w:val="24"/>
      <w:szCs w:val="32"/>
    </w:rPr>
  </w:style>
  <w:style w:type="paragraph" w:customStyle="1" w:styleId="32">
    <w:name w:val="TOC 标题2"/>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color w:val="2E75B5"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82DC0-2961-4542-9B5C-DFEEB36557BB}">
  <ds:schemaRefs/>
</ds:datastoreItem>
</file>

<file path=docProps/app.xml><?xml version="1.0" encoding="utf-8"?>
<Properties xmlns="http://schemas.openxmlformats.org/officeDocument/2006/extended-properties" xmlns:vt="http://schemas.openxmlformats.org/officeDocument/2006/docPropsVTypes">
  <Template>Normal</Template>
  <Pages>15</Pages>
  <Words>7489</Words>
  <Characters>8304</Characters>
  <Lines>72</Lines>
  <Paragraphs>20</Paragraphs>
  <TotalTime>39</TotalTime>
  <ScaleCrop>false</ScaleCrop>
  <LinksUpToDate>false</LinksUpToDate>
  <CharactersWithSpaces>8410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2017-04-13T15:26:00Z</dcterms:created>
  <dc:creator>lenovo</dc:creator>
  <cp:lastModifiedBy>thtf</cp:lastModifiedBy>
  <cp:lastPrinted>2018-06-08T09:31:00Z</cp:lastPrinted>
  <dcterms:modified xsi:type="dcterms:W3CDTF">2025-12-15T10:08:37Z</dcterms:modified>
  <cp:revision>2082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eyJoZGlkIjoiNjEyYmI1MzgzYzk3YzFhYTU4NDQ2ODU1MDY0OTNlYjUifQ==</vt:lpwstr>
  </property>
  <property fmtid="{D5CDD505-2E9C-101B-9397-08002B2CF9AE}" pid="4" name="ICV">
    <vt:lpwstr>A04EB24CD12D46E6AB6133E63406E326_12</vt:lpwstr>
  </property>
</Properties>
</file>