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A4" w:rsidRDefault="00B65E4F">
      <w:pPr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附件7</w:t>
      </w:r>
      <w:bookmarkStart w:id="0" w:name="_GoBack"/>
      <w:bookmarkEnd w:id="0"/>
      <w:r>
        <w:rPr>
          <w:rFonts w:ascii="仿宋_GB2312" w:eastAsia="仿宋_GB2312" w:hint="eastAsia"/>
          <w:sz w:val="32"/>
        </w:rPr>
        <w:t>：</w:t>
      </w:r>
    </w:p>
    <w:p w:rsidR="00C937A4" w:rsidRDefault="00B65E4F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2020</w:t>
      </w:r>
      <w:r>
        <w:rPr>
          <w:rFonts w:ascii="方正小标宋简体" w:eastAsia="方正小标宋简体" w:hAnsi="宋体" w:cs="方正小标宋简体" w:hint="eastAsia"/>
          <w:sz w:val="36"/>
          <w:szCs w:val="36"/>
        </w:rPr>
        <w:t>年度</w:t>
      </w:r>
      <w:r>
        <w:rPr>
          <w:rFonts w:ascii="方正小标宋简体" w:eastAsia="方正小标宋简体" w:hAnsi="宋体" w:cs="方正小标宋简体"/>
          <w:sz w:val="36"/>
          <w:szCs w:val="36"/>
        </w:rPr>
        <w:t>人员及技术服务</w:t>
      </w:r>
      <w:r>
        <w:rPr>
          <w:rFonts w:ascii="方正小标宋简体" w:eastAsia="方正小标宋简体" w:hAnsi="宋体" w:cs="方正小标宋简体" w:hint="eastAsia"/>
          <w:sz w:val="36"/>
          <w:szCs w:val="36"/>
        </w:rPr>
        <w:t>项目自评表</w:t>
      </w:r>
    </w:p>
    <w:p w:rsidR="00C937A4" w:rsidRDefault="00B65E4F">
      <w:pPr>
        <w:widowControl/>
        <w:jc w:val="left"/>
        <w:rPr>
          <w:rFonts w:ascii="楷体_GB2312" w:eastAsia="楷体_GB2312" w:hAnsi="黑体"/>
          <w:kern w:val="0"/>
          <w:sz w:val="48"/>
          <w:szCs w:val="48"/>
        </w:rPr>
      </w:pP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单位名称：武汉市硚口区建筑管理站</w:t>
      </w:r>
      <w:r>
        <w:rPr>
          <w:rFonts w:ascii="楷体_GB2312" w:eastAsia="楷体_GB2312" w:hAnsi="仿宋" w:cs="楷体_GB2312"/>
          <w:kern w:val="0"/>
          <w:sz w:val="28"/>
          <w:szCs w:val="28"/>
        </w:rPr>
        <w:t xml:space="preserve">  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 xml:space="preserve"> 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填报日期：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2021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年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6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月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9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日</w:t>
      </w:r>
      <w:r>
        <w:rPr>
          <w:rFonts w:ascii="楷体_GB2312" w:eastAsia="楷体_GB2312" w:hAnsi="仿宋" w:cs="楷体_GB2312"/>
          <w:kern w:val="0"/>
          <w:sz w:val="28"/>
          <w:szCs w:val="28"/>
        </w:rPr>
        <w:t xml:space="preserve">                         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00"/>
        <w:gridCol w:w="1484"/>
        <w:gridCol w:w="957"/>
        <w:gridCol w:w="923"/>
        <w:gridCol w:w="394"/>
        <w:gridCol w:w="1466"/>
        <w:gridCol w:w="660"/>
        <w:gridCol w:w="703"/>
        <w:gridCol w:w="833"/>
      </w:tblGrid>
      <w:tr w:rsidR="00C937A4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C937A4" w:rsidRDefault="00B65E4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 w:rsidR="00C937A4" w:rsidRDefault="00B65E4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 xml:space="preserve">　人员及技术服务</w:t>
            </w:r>
          </w:p>
        </w:tc>
      </w:tr>
      <w:tr w:rsidR="00C937A4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C937A4" w:rsidRDefault="00B65E4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:rsidR="00C937A4" w:rsidRDefault="00B65E4F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/>
                <w:kern w:val="0"/>
              </w:rPr>
              <w:t>武汉市硚口区建设局</w:t>
            </w:r>
          </w:p>
        </w:tc>
        <w:tc>
          <w:tcPr>
            <w:tcW w:w="2520" w:type="dxa"/>
            <w:gridSpan w:val="3"/>
            <w:vAlign w:val="center"/>
          </w:tcPr>
          <w:p w:rsidR="00C937A4" w:rsidRDefault="00B65E4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 w:rsidR="00C937A4" w:rsidRDefault="00B65E4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 xml:space="preserve">硚口区建筑管理站　</w:t>
            </w:r>
          </w:p>
        </w:tc>
      </w:tr>
      <w:tr w:rsidR="00C937A4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C937A4" w:rsidRDefault="00B65E4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 w:rsidR="00C937A4" w:rsidRDefault="00B65E4F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</w:t>
            </w:r>
            <w:r>
              <w:rPr>
                <w:rFonts w:ascii="仿宋_GB2312" w:eastAsia="仿宋_GB2312" w:hAnsi="宋体" w:cs="仿宋_GB2312" w:hint="eastAsia"/>
                <w:kern w:val="0"/>
              </w:rPr>
              <w:t>部门预算项目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>
              <w:rPr>
                <w:rFonts w:ascii="仿宋_GB2312" w:eastAsia="仿宋_GB2312" w:hAnsi="宋体" w:cs="仿宋_GB2312"/>
                <w:kern w:val="0"/>
              </w:rPr>
              <w:sym w:font="Wingdings 2" w:char="F052"/>
            </w:r>
            <w:r>
              <w:rPr>
                <w:rFonts w:ascii="仿宋_GB2312" w:eastAsia="仿宋_GB2312" w:hAnsi="宋体" w:cs="仿宋_GB2312"/>
                <w:kern w:val="0"/>
              </w:rPr>
              <w:t xml:space="preserve">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</w:t>
            </w:r>
            <w:r>
              <w:rPr>
                <w:rFonts w:ascii="仿宋_GB2312" w:eastAsia="仿宋_GB2312" w:hAnsi="宋体" w:cs="仿宋_GB2312" w:hint="eastAsia"/>
                <w:kern w:val="0"/>
              </w:rPr>
              <w:t>财政专项资金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</w:p>
        </w:tc>
      </w:tr>
      <w:tr w:rsidR="00C937A4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C937A4" w:rsidRDefault="00B65E4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 w:rsidR="00C937A4" w:rsidRDefault="00B65E4F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持续性项目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</w:t>
            </w:r>
            <w:r>
              <w:rPr>
                <w:rFonts w:ascii="仿宋_GB2312" w:eastAsia="仿宋_GB2312" w:hAnsi="宋体" w:cs="仿宋_GB2312"/>
                <w:kern w:val="0"/>
              </w:rPr>
              <w:sym w:font="Wingdings 2" w:char="F052"/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新增性项目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</w:p>
        </w:tc>
      </w:tr>
      <w:tr w:rsidR="00C937A4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C937A4" w:rsidRDefault="00B65E4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 w:rsidR="00C937A4" w:rsidRDefault="00B65E4F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常年性项目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</w:t>
            </w:r>
            <w:r>
              <w:rPr>
                <w:rFonts w:ascii="仿宋_GB2312" w:eastAsia="仿宋_GB2312" w:hAnsi="宋体" w:cs="仿宋_GB2312"/>
                <w:kern w:val="0"/>
              </w:rPr>
              <w:sym w:font="Wingdings 2" w:char="F052"/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延续性项目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</w:t>
            </w:r>
            <w:r>
              <w:rPr>
                <w:rFonts w:ascii="仿宋_GB2312" w:eastAsia="仿宋_GB2312" w:hAnsi="宋体" w:cs="仿宋_GB2312" w:hint="eastAsia"/>
                <w:kern w:val="0"/>
              </w:rPr>
              <w:t>一次性项目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</w:p>
        </w:tc>
      </w:tr>
      <w:tr w:rsidR="00C937A4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C937A4" w:rsidRDefault="00B65E4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预算执行情况（万元）</w:t>
            </w:r>
          </w:p>
          <w:p w:rsidR="00C937A4" w:rsidRDefault="00B65E4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1484" w:type="dxa"/>
            <w:vAlign w:val="center"/>
          </w:tcPr>
          <w:p w:rsidR="00C937A4" w:rsidRDefault="00C937A4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957" w:type="dxa"/>
            <w:vAlign w:val="center"/>
          </w:tcPr>
          <w:p w:rsidR="00C937A4" w:rsidRDefault="00B65E4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预算数（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/>
                <w:kern w:val="0"/>
              </w:rPr>
              <w:t>）</w:t>
            </w:r>
          </w:p>
        </w:tc>
        <w:tc>
          <w:tcPr>
            <w:tcW w:w="1317" w:type="dxa"/>
            <w:gridSpan w:val="2"/>
            <w:vAlign w:val="center"/>
          </w:tcPr>
          <w:p w:rsidR="00C937A4" w:rsidRDefault="00B65E4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执行数</w:t>
            </w:r>
            <w:r>
              <w:rPr>
                <w:rFonts w:ascii="仿宋_GB2312" w:eastAsia="仿宋_GB2312" w:hAnsi="宋体" w:cs="仿宋_GB2312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/>
                <w:kern w:val="0"/>
              </w:rPr>
              <w:t>）</w:t>
            </w:r>
          </w:p>
        </w:tc>
        <w:tc>
          <w:tcPr>
            <w:tcW w:w="1466" w:type="dxa"/>
            <w:vAlign w:val="center"/>
          </w:tcPr>
          <w:p w:rsidR="00C937A4" w:rsidRDefault="00B65E4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执行率</w:t>
            </w:r>
            <w:r>
              <w:rPr>
                <w:rFonts w:ascii="仿宋_GB2312" w:eastAsia="仿宋_GB2312" w:hAnsi="宋体" w:cs="仿宋_GB2312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B/A</w:t>
            </w:r>
            <w:r>
              <w:rPr>
                <w:rFonts w:ascii="仿宋_GB2312" w:eastAsia="仿宋_GB2312" w:hAnsi="宋体" w:cs="仿宋_GB2312"/>
                <w:kern w:val="0"/>
              </w:rPr>
              <w:t>）</w:t>
            </w:r>
          </w:p>
        </w:tc>
        <w:tc>
          <w:tcPr>
            <w:tcW w:w="2196" w:type="dxa"/>
            <w:gridSpan w:val="3"/>
            <w:vAlign w:val="center"/>
          </w:tcPr>
          <w:p w:rsidR="00C937A4" w:rsidRDefault="00B65E4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  <w:p w:rsidR="00C937A4" w:rsidRDefault="00B65E4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</w:t>
            </w:r>
            <w:r>
              <w:rPr>
                <w:rFonts w:ascii="仿宋_GB2312" w:eastAsia="仿宋_GB2312" w:hAnsi="宋体" w:cs="仿宋_GB2312"/>
                <w:kern w:val="0"/>
              </w:rPr>
              <w:t>*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执行率）</w:t>
            </w:r>
          </w:p>
        </w:tc>
      </w:tr>
      <w:tr w:rsidR="00C937A4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C937A4" w:rsidRDefault="00C937A4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84" w:type="dxa"/>
            <w:vAlign w:val="center"/>
          </w:tcPr>
          <w:p w:rsidR="00C937A4" w:rsidRDefault="00B65E4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年度财政资金总额</w:t>
            </w:r>
          </w:p>
        </w:tc>
        <w:tc>
          <w:tcPr>
            <w:tcW w:w="957" w:type="dxa"/>
            <w:vAlign w:val="center"/>
          </w:tcPr>
          <w:p w:rsidR="00C937A4" w:rsidRDefault="00B65E4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220</w:t>
            </w:r>
            <w:r>
              <w:rPr>
                <w:rFonts w:ascii="仿宋_GB2312" w:eastAsia="仿宋_GB2312" w:hAnsi="宋体" w:hint="eastAsia"/>
                <w:kern w:val="0"/>
              </w:rPr>
              <w:t>万</w:t>
            </w:r>
          </w:p>
        </w:tc>
        <w:tc>
          <w:tcPr>
            <w:tcW w:w="1317" w:type="dxa"/>
            <w:gridSpan w:val="2"/>
            <w:vAlign w:val="center"/>
          </w:tcPr>
          <w:p w:rsidR="00C937A4" w:rsidRDefault="00B65E4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218.25</w:t>
            </w:r>
            <w:r>
              <w:rPr>
                <w:rFonts w:ascii="仿宋_GB2312" w:eastAsia="仿宋_GB2312" w:hAnsi="宋体" w:hint="eastAsia"/>
                <w:kern w:val="0"/>
              </w:rPr>
              <w:t>万</w:t>
            </w:r>
          </w:p>
        </w:tc>
        <w:tc>
          <w:tcPr>
            <w:tcW w:w="1466" w:type="dxa"/>
            <w:vAlign w:val="center"/>
          </w:tcPr>
          <w:p w:rsidR="00C937A4" w:rsidRDefault="00B65E4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99.2%</w:t>
            </w:r>
          </w:p>
        </w:tc>
        <w:tc>
          <w:tcPr>
            <w:tcW w:w="2196" w:type="dxa"/>
            <w:gridSpan w:val="3"/>
            <w:vAlign w:val="center"/>
          </w:tcPr>
          <w:p w:rsidR="00C937A4" w:rsidRDefault="00B65E4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19.84</w:t>
            </w:r>
          </w:p>
        </w:tc>
      </w:tr>
      <w:tr w:rsidR="00C937A4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C937A4" w:rsidRDefault="00B65E4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1</w:t>
            </w:r>
          </w:p>
          <w:p w:rsidR="00C937A4" w:rsidRDefault="00B65E4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  <w:sz w:val="20"/>
              </w:rPr>
              <w:t>XX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 w:rsidR="00C937A4" w:rsidRDefault="00B65E4F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484" w:type="dxa"/>
            <w:vAlign w:val="center"/>
          </w:tcPr>
          <w:p w:rsidR="00C937A4" w:rsidRDefault="00B65E4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2274" w:type="dxa"/>
            <w:gridSpan w:val="3"/>
            <w:vAlign w:val="center"/>
          </w:tcPr>
          <w:p w:rsidR="00C937A4" w:rsidRDefault="00B65E4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C937A4" w:rsidRDefault="00B65E4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年初目标值（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63" w:type="dxa"/>
            <w:gridSpan w:val="2"/>
            <w:vAlign w:val="center"/>
          </w:tcPr>
          <w:p w:rsidR="00C937A4" w:rsidRDefault="00B65E4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实际完成值（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833" w:type="dxa"/>
            <w:vAlign w:val="center"/>
          </w:tcPr>
          <w:p w:rsidR="00C937A4" w:rsidRDefault="00B65E4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</w:tc>
      </w:tr>
      <w:tr w:rsidR="00C937A4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C937A4" w:rsidRDefault="00C937A4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C937A4" w:rsidRDefault="00B65E4F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产出指标</w:t>
            </w:r>
          </w:p>
        </w:tc>
        <w:tc>
          <w:tcPr>
            <w:tcW w:w="1484" w:type="dxa"/>
          </w:tcPr>
          <w:p w:rsidR="00C937A4" w:rsidRDefault="00B65E4F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数量指标</w:t>
            </w:r>
          </w:p>
        </w:tc>
        <w:tc>
          <w:tcPr>
            <w:tcW w:w="2274" w:type="dxa"/>
            <w:gridSpan w:val="3"/>
          </w:tcPr>
          <w:p w:rsidR="00C937A4" w:rsidRDefault="00B65E4F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特种设备安全检查</w:t>
            </w:r>
          </w:p>
        </w:tc>
        <w:tc>
          <w:tcPr>
            <w:tcW w:w="1466" w:type="dxa"/>
          </w:tcPr>
          <w:p w:rsidR="00C937A4" w:rsidRDefault="00B65E4F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四类</w:t>
            </w:r>
          </w:p>
        </w:tc>
        <w:tc>
          <w:tcPr>
            <w:tcW w:w="1363" w:type="dxa"/>
            <w:gridSpan w:val="2"/>
          </w:tcPr>
          <w:p w:rsidR="00C937A4" w:rsidRDefault="00B65E4F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四类</w:t>
            </w:r>
          </w:p>
        </w:tc>
        <w:tc>
          <w:tcPr>
            <w:tcW w:w="833" w:type="dxa"/>
            <w:vAlign w:val="center"/>
          </w:tcPr>
          <w:p w:rsidR="00C937A4" w:rsidRDefault="00B65E4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C937A4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C937A4" w:rsidRDefault="00C937A4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C937A4" w:rsidRDefault="00C937A4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84" w:type="dxa"/>
          </w:tcPr>
          <w:p w:rsidR="00C937A4" w:rsidRDefault="00B65E4F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数量指标</w:t>
            </w:r>
          </w:p>
        </w:tc>
        <w:tc>
          <w:tcPr>
            <w:tcW w:w="2274" w:type="dxa"/>
            <w:gridSpan w:val="3"/>
          </w:tcPr>
          <w:p w:rsidR="00C937A4" w:rsidRDefault="00B65E4F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房屋监管面积</w:t>
            </w: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660</w:t>
            </w:r>
            <w:r>
              <w:rPr>
                <w:rFonts w:ascii="宋体" w:eastAsia="宋体" w:hAnsi="宋体"/>
                <w:color w:val="000000"/>
                <w:sz w:val="20"/>
              </w:rPr>
              <w:t>万平方米</w:t>
            </w:r>
          </w:p>
        </w:tc>
        <w:tc>
          <w:tcPr>
            <w:tcW w:w="1466" w:type="dxa"/>
          </w:tcPr>
          <w:p w:rsidR="00C937A4" w:rsidRDefault="00B65E4F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660</w:t>
            </w:r>
            <w:r>
              <w:rPr>
                <w:rFonts w:ascii="宋体" w:eastAsia="宋体" w:hAnsi="宋体"/>
                <w:color w:val="000000"/>
                <w:sz w:val="20"/>
              </w:rPr>
              <w:t>万平方米</w:t>
            </w:r>
          </w:p>
        </w:tc>
        <w:tc>
          <w:tcPr>
            <w:tcW w:w="1363" w:type="dxa"/>
            <w:gridSpan w:val="2"/>
          </w:tcPr>
          <w:p w:rsidR="00C937A4" w:rsidRDefault="00B65E4F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660</w:t>
            </w:r>
            <w:r>
              <w:rPr>
                <w:rFonts w:ascii="宋体" w:eastAsia="宋体" w:hAnsi="宋体"/>
                <w:color w:val="000000"/>
                <w:sz w:val="20"/>
              </w:rPr>
              <w:t>万平方米</w:t>
            </w:r>
          </w:p>
        </w:tc>
        <w:tc>
          <w:tcPr>
            <w:tcW w:w="833" w:type="dxa"/>
            <w:vAlign w:val="center"/>
          </w:tcPr>
          <w:p w:rsidR="00C937A4" w:rsidRDefault="00B65E4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C937A4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C937A4" w:rsidRDefault="00C937A4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C937A4" w:rsidRDefault="00C937A4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84" w:type="dxa"/>
          </w:tcPr>
          <w:p w:rsidR="00C937A4" w:rsidRDefault="00C937A4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</w:p>
        </w:tc>
        <w:tc>
          <w:tcPr>
            <w:tcW w:w="2274" w:type="dxa"/>
            <w:gridSpan w:val="3"/>
          </w:tcPr>
          <w:p w:rsidR="00C937A4" w:rsidRDefault="00C937A4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</w:p>
        </w:tc>
        <w:tc>
          <w:tcPr>
            <w:tcW w:w="1466" w:type="dxa"/>
          </w:tcPr>
          <w:p w:rsidR="00C937A4" w:rsidRDefault="00C937A4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</w:p>
        </w:tc>
        <w:tc>
          <w:tcPr>
            <w:tcW w:w="1363" w:type="dxa"/>
            <w:gridSpan w:val="2"/>
          </w:tcPr>
          <w:p w:rsidR="00C937A4" w:rsidRDefault="00C937A4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</w:p>
        </w:tc>
        <w:tc>
          <w:tcPr>
            <w:tcW w:w="833" w:type="dxa"/>
            <w:vAlign w:val="center"/>
          </w:tcPr>
          <w:p w:rsidR="00C937A4" w:rsidRDefault="00C937A4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C937A4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C937A4" w:rsidRDefault="00C937A4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C937A4" w:rsidRDefault="00C937A4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84" w:type="dxa"/>
            <w:vAlign w:val="center"/>
          </w:tcPr>
          <w:p w:rsidR="00C937A4" w:rsidRDefault="00C937A4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C937A4" w:rsidRDefault="00C937A4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C937A4" w:rsidRDefault="00C937A4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C937A4" w:rsidRDefault="00C937A4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33" w:type="dxa"/>
            <w:vAlign w:val="center"/>
          </w:tcPr>
          <w:p w:rsidR="00C937A4" w:rsidRDefault="00C937A4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C937A4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C937A4" w:rsidRDefault="00C937A4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C937A4" w:rsidRDefault="00B65E4F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效益指标</w:t>
            </w:r>
          </w:p>
        </w:tc>
        <w:tc>
          <w:tcPr>
            <w:tcW w:w="1484" w:type="dxa"/>
          </w:tcPr>
          <w:p w:rsidR="00C937A4" w:rsidRDefault="00B65E4F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社会效益指标</w:t>
            </w:r>
          </w:p>
        </w:tc>
        <w:tc>
          <w:tcPr>
            <w:tcW w:w="2274" w:type="dxa"/>
            <w:gridSpan w:val="3"/>
          </w:tcPr>
          <w:p w:rsidR="00C937A4" w:rsidRDefault="00B65E4F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安全生产</w:t>
            </w:r>
            <w:r>
              <w:rPr>
                <w:rFonts w:ascii="宋体" w:eastAsia="宋体" w:hAnsi="宋体"/>
                <w:color w:val="000000"/>
                <w:sz w:val="20"/>
              </w:rPr>
              <w:t>0</w:t>
            </w:r>
            <w:r>
              <w:rPr>
                <w:rFonts w:ascii="宋体" w:eastAsia="宋体" w:hAnsi="宋体"/>
                <w:color w:val="000000"/>
                <w:sz w:val="20"/>
              </w:rPr>
              <w:t>事故</w:t>
            </w:r>
          </w:p>
        </w:tc>
        <w:tc>
          <w:tcPr>
            <w:tcW w:w="1466" w:type="dxa"/>
          </w:tcPr>
          <w:p w:rsidR="00C937A4" w:rsidRDefault="00B65E4F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0</w:t>
            </w:r>
          </w:p>
        </w:tc>
        <w:tc>
          <w:tcPr>
            <w:tcW w:w="1363" w:type="dxa"/>
            <w:gridSpan w:val="2"/>
          </w:tcPr>
          <w:p w:rsidR="00C937A4" w:rsidRDefault="00B65E4F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0</w:t>
            </w:r>
          </w:p>
        </w:tc>
        <w:tc>
          <w:tcPr>
            <w:tcW w:w="833" w:type="dxa"/>
            <w:vAlign w:val="center"/>
          </w:tcPr>
          <w:p w:rsidR="00C937A4" w:rsidRDefault="00B65E4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C937A4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C937A4" w:rsidRDefault="00C937A4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C937A4" w:rsidRDefault="00C937A4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84" w:type="dxa"/>
          </w:tcPr>
          <w:p w:rsidR="00C937A4" w:rsidRDefault="00B65E4F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社会效益指标</w:t>
            </w:r>
          </w:p>
        </w:tc>
        <w:tc>
          <w:tcPr>
            <w:tcW w:w="2274" w:type="dxa"/>
            <w:gridSpan w:val="3"/>
          </w:tcPr>
          <w:p w:rsidR="00C937A4" w:rsidRDefault="00B65E4F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保障工地监管力度</w:t>
            </w:r>
          </w:p>
        </w:tc>
        <w:tc>
          <w:tcPr>
            <w:tcW w:w="1466" w:type="dxa"/>
          </w:tcPr>
          <w:p w:rsidR="00C937A4" w:rsidRDefault="00B65E4F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有保障</w:t>
            </w:r>
          </w:p>
        </w:tc>
        <w:tc>
          <w:tcPr>
            <w:tcW w:w="1363" w:type="dxa"/>
            <w:gridSpan w:val="2"/>
          </w:tcPr>
          <w:p w:rsidR="00C937A4" w:rsidRDefault="00B65E4F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有保障</w:t>
            </w:r>
          </w:p>
        </w:tc>
        <w:tc>
          <w:tcPr>
            <w:tcW w:w="833" w:type="dxa"/>
            <w:vAlign w:val="center"/>
          </w:tcPr>
          <w:p w:rsidR="00C937A4" w:rsidRDefault="00B65E4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C937A4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C937A4" w:rsidRDefault="00C937A4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C937A4" w:rsidRDefault="00C937A4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84" w:type="dxa"/>
          </w:tcPr>
          <w:p w:rsidR="00C937A4" w:rsidRDefault="00C937A4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000000"/>
                <w:sz w:val="20"/>
              </w:rPr>
            </w:pPr>
          </w:p>
        </w:tc>
        <w:tc>
          <w:tcPr>
            <w:tcW w:w="2274" w:type="dxa"/>
            <w:gridSpan w:val="3"/>
          </w:tcPr>
          <w:p w:rsidR="00C937A4" w:rsidRDefault="00C937A4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</w:p>
        </w:tc>
        <w:tc>
          <w:tcPr>
            <w:tcW w:w="1466" w:type="dxa"/>
          </w:tcPr>
          <w:p w:rsidR="00C937A4" w:rsidRDefault="00C937A4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</w:p>
        </w:tc>
        <w:tc>
          <w:tcPr>
            <w:tcW w:w="1363" w:type="dxa"/>
            <w:gridSpan w:val="2"/>
          </w:tcPr>
          <w:p w:rsidR="00C937A4" w:rsidRDefault="00C937A4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</w:p>
        </w:tc>
        <w:tc>
          <w:tcPr>
            <w:tcW w:w="833" w:type="dxa"/>
            <w:vAlign w:val="center"/>
          </w:tcPr>
          <w:p w:rsidR="00C937A4" w:rsidRDefault="00C937A4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C937A4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C937A4" w:rsidRDefault="00C937A4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C937A4" w:rsidRDefault="00C937A4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84" w:type="dxa"/>
          </w:tcPr>
          <w:p w:rsidR="00C937A4" w:rsidRDefault="00C937A4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000000"/>
                <w:sz w:val="20"/>
              </w:rPr>
            </w:pPr>
          </w:p>
        </w:tc>
        <w:tc>
          <w:tcPr>
            <w:tcW w:w="2274" w:type="dxa"/>
            <w:gridSpan w:val="3"/>
          </w:tcPr>
          <w:p w:rsidR="00C937A4" w:rsidRDefault="00C937A4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</w:p>
        </w:tc>
        <w:tc>
          <w:tcPr>
            <w:tcW w:w="1466" w:type="dxa"/>
          </w:tcPr>
          <w:p w:rsidR="00C937A4" w:rsidRDefault="00C937A4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</w:p>
        </w:tc>
        <w:tc>
          <w:tcPr>
            <w:tcW w:w="1363" w:type="dxa"/>
            <w:gridSpan w:val="2"/>
          </w:tcPr>
          <w:p w:rsidR="00C937A4" w:rsidRDefault="00C937A4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</w:p>
        </w:tc>
        <w:tc>
          <w:tcPr>
            <w:tcW w:w="833" w:type="dxa"/>
            <w:vAlign w:val="center"/>
          </w:tcPr>
          <w:p w:rsidR="00C937A4" w:rsidRDefault="00C937A4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C937A4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C937A4" w:rsidRDefault="00C937A4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C937A4" w:rsidRDefault="00C937A4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84" w:type="dxa"/>
          </w:tcPr>
          <w:p w:rsidR="00C937A4" w:rsidRDefault="00C937A4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000000"/>
                <w:sz w:val="20"/>
              </w:rPr>
            </w:pPr>
          </w:p>
        </w:tc>
        <w:tc>
          <w:tcPr>
            <w:tcW w:w="2274" w:type="dxa"/>
            <w:gridSpan w:val="3"/>
          </w:tcPr>
          <w:p w:rsidR="00C937A4" w:rsidRDefault="00C937A4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</w:p>
        </w:tc>
        <w:tc>
          <w:tcPr>
            <w:tcW w:w="1466" w:type="dxa"/>
          </w:tcPr>
          <w:p w:rsidR="00C937A4" w:rsidRDefault="00C937A4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</w:p>
        </w:tc>
        <w:tc>
          <w:tcPr>
            <w:tcW w:w="1363" w:type="dxa"/>
            <w:gridSpan w:val="2"/>
          </w:tcPr>
          <w:p w:rsidR="00C937A4" w:rsidRDefault="00C937A4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</w:p>
        </w:tc>
        <w:tc>
          <w:tcPr>
            <w:tcW w:w="833" w:type="dxa"/>
            <w:vAlign w:val="center"/>
          </w:tcPr>
          <w:p w:rsidR="00C937A4" w:rsidRDefault="00C937A4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C937A4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C937A4" w:rsidRDefault="00C937A4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C937A4" w:rsidRDefault="00C937A4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84" w:type="dxa"/>
            <w:vAlign w:val="center"/>
          </w:tcPr>
          <w:p w:rsidR="00C937A4" w:rsidRDefault="00C937A4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C937A4" w:rsidRDefault="00C937A4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C937A4" w:rsidRDefault="00C937A4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C937A4" w:rsidRDefault="00C937A4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33" w:type="dxa"/>
            <w:vAlign w:val="center"/>
          </w:tcPr>
          <w:p w:rsidR="00C937A4" w:rsidRDefault="00C937A4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C937A4">
        <w:trPr>
          <w:trHeight w:val="510"/>
          <w:jc w:val="center"/>
        </w:trPr>
        <w:tc>
          <w:tcPr>
            <w:tcW w:w="828" w:type="dxa"/>
            <w:vAlign w:val="center"/>
          </w:tcPr>
          <w:p w:rsidR="00C937A4" w:rsidRDefault="00B65E4F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 w:rsidR="00C937A4" w:rsidRDefault="00C937A4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84" w:type="dxa"/>
            <w:vAlign w:val="center"/>
          </w:tcPr>
          <w:p w:rsidR="00C937A4" w:rsidRDefault="00C937A4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C937A4" w:rsidRDefault="00C937A4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C937A4" w:rsidRDefault="00C937A4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C937A4" w:rsidRDefault="00C937A4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33" w:type="dxa"/>
            <w:vAlign w:val="center"/>
          </w:tcPr>
          <w:p w:rsidR="00C937A4" w:rsidRDefault="00C937A4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C937A4">
        <w:trPr>
          <w:trHeight w:val="510"/>
          <w:jc w:val="center"/>
        </w:trPr>
        <w:tc>
          <w:tcPr>
            <w:tcW w:w="828" w:type="dxa"/>
            <w:vAlign w:val="center"/>
          </w:tcPr>
          <w:p w:rsidR="00C937A4" w:rsidRDefault="00B65E4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 w:rsidR="00C937A4" w:rsidRDefault="00C937A4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84" w:type="dxa"/>
            <w:vAlign w:val="center"/>
          </w:tcPr>
          <w:p w:rsidR="00C937A4" w:rsidRDefault="00C937A4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C937A4" w:rsidRDefault="00C937A4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C937A4" w:rsidRDefault="00C937A4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C937A4" w:rsidRDefault="00C937A4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33" w:type="dxa"/>
            <w:vAlign w:val="center"/>
          </w:tcPr>
          <w:p w:rsidR="00C937A4" w:rsidRDefault="00C937A4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C937A4">
        <w:trPr>
          <w:trHeight w:val="510"/>
          <w:jc w:val="center"/>
        </w:trPr>
        <w:tc>
          <w:tcPr>
            <w:tcW w:w="828" w:type="dxa"/>
            <w:vAlign w:val="center"/>
          </w:tcPr>
          <w:p w:rsidR="00C937A4" w:rsidRDefault="00B65E4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C937A4" w:rsidRDefault="00B65E4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99.84</w:t>
            </w:r>
            <w:r>
              <w:rPr>
                <w:rFonts w:ascii="仿宋_GB2312" w:eastAsia="仿宋_GB2312" w:hAnsi="宋体" w:hint="eastAsia"/>
                <w:kern w:val="0"/>
              </w:rPr>
              <w:t>分</w:t>
            </w:r>
          </w:p>
        </w:tc>
      </w:tr>
      <w:tr w:rsidR="00C937A4">
        <w:trPr>
          <w:trHeight w:val="5241"/>
          <w:jc w:val="center"/>
        </w:trPr>
        <w:tc>
          <w:tcPr>
            <w:tcW w:w="1528" w:type="dxa"/>
            <w:gridSpan w:val="2"/>
            <w:vAlign w:val="center"/>
          </w:tcPr>
          <w:p w:rsidR="00C937A4" w:rsidRDefault="00B65E4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lastRenderedPageBreak/>
              <w:t>偏差大或</w:t>
            </w:r>
          </w:p>
          <w:p w:rsidR="00C937A4" w:rsidRDefault="00B65E4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目标未完成</w:t>
            </w:r>
          </w:p>
          <w:p w:rsidR="00C937A4" w:rsidRDefault="00B65E4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C937A4" w:rsidRDefault="00B65E4F">
            <w:pPr>
              <w:pBdr>
                <w:top w:val="none" w:sz="0" w:space="0" w:color="000000"/>
                <w:left w:val="none" w:sz="0" w:space="0" w:color="000000"/>
                <w:bottom w:val="none" w:sz="0" w:space="15" w:color="000000"/>
                <w:right w:val="none" w:sz="0" w:space="0" w:color="000000"/>
              </w:pBdr>
              <w:tabs>
                <w:tab w:val="left" w:pos="2368"/>
              </w:tabs>
              <w:autoSpaceDN w:val="0"/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按照市委市政府简政放权的工作要求和武汉市第</w:t>
            </w:r>
            <w:r>
              <w:rPr>
                <w:rFonts w:ascii="仿宋_GB2312" w:eastAsia="仿宋_GB2312" w:hint="eastAsia"/>
                <w:sz w:val="28"/>
                <w:szCs w:val="28"/>
              </w:rPr>
              <w:t>221</w:t>
            </w:r>
            <w:r>
              <w:rPr>
                <w:rFonts w:ascii="仿宋_GB2312" w:eastAsia="仿宋_GB2312" w:hint="eastAsia"/>
                <w:sz w:val="28"/>
                <w:szCs w:val="28"/>
              </w:rPr>
              <w:t>号市长令《关于保留和调整的行政审批事项的决定》，建设管理的权限大幅下放到区级并逐步向属地化管理方向变化，区级管理工作量和责任不断加大，建管站人员编制与人员技术力量不足的矛盾一直存在。</w:t>
            </w:r>
          </w:p>
          <w:p w:rsidR="00C937A4" w:rsidRDefault="00C937A4">
            <w:pPr>
              <w:pBdr>
                <w:top w:val="none" w:sz="0" w:space="0" w:color="000000"/>
                <w:left w:val="none" w:sz="0" w:space="0" w:color="000000"/>
                <w:bottom w:val="none" w:sz="0" w:space="15" w:color="000000"/>
                <w:right w:val="none" w:sz="0" w:space="0" w:color="000000"/>
              </w:pBdr>
              <w:tabs>
                <w:tab w:val="left" w:pos="2368"/>
              </w:tabs>
              <w:autoSpaceDN w:val="0"/>
              <w:spacing w:line="360" w:lineRule="auto"/>
              <w:ind w:firstLineChars="200" w:firstLine="420"/>
              <w:rPr>
                <w:rFonts w:ascii="仿宋_GB2312" w:eastAsia="仿宋_GB2312" w:hAnsi="宋体"/>
                <w:kern w:val="0"/>
              </w:rPr>
            </w:pPr>
          </w:p>
        </w:tc>
      </w:tr>
      <w:tr w:rsidR="00C937A4">
        <w:trPr>
          <w:trHeight w:val="5088"/>
          <w:jc w:val="center"/>
        </w:trPr>
        <w:tc>
          <w:tcPr>
            <w:tcW w:w="1528" w:type="dxa"/>
            <w:gridSpan w:val="2"/>
            <w:vAlign w:val="center"/>
          </w:tcPr>
          <w:p w:rsidR="00C937A4" w:rsidRDefault="00B65E4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改进措施及</w:t>
            </w:r>
          </w:p>
          <w:p w:rsidR="00C937A4" w:rsidRDefault="00B65E4F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C937A4" w:rsidRDefault="00B65E4F">
            <w:pPr>
              <w:adjustRightInd w:val="0"/>
              <w:snapToGrid w:val="0"/>
              <w:spacing w:line="600" w:lineRule="exact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2020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年人员及安全技术服务项目严格按要求进行管理，遵循公开透明、及时便利的原则，扎实推进各项工作。</w:t>
            </w:r>
          </w:p>
          <w:p w:rsidR="00C937A4" w:rsidRDefault="00B65E4F">
            <w:pPr>
              <w:pBdr>
                <w:top w:val="none" w:sz="0" w:space="0" w:color="000000"/>
                <w:left w:val="none" w:sz="0" w:space="0" w:color="000000"/>
                <w:bottom w:val="none" w:sz="0" w:space="15" w:color="000000"/>
                <w:right w:val="none" w:sz="0" w:space="0" w:color="000000"/>
              </w:pBdr>
              <w:tabs>
                <w:tab w:val="left" w:pos="2368"/>
              </w:tabs>
              <w:autoSpaceDN w:val="0"/>
              <w:spacing w:line="360" w:lineRule="auto"/>
              <w:ind w:firstLineChars="200" w:firstLine="560"/>
              <w:rPr>
                <w:rFonts w:ascii="仿宋_GB2312" w:eastAsia="仿宋_GB2312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sz w:val="28"/>
                <w:szCs w:val="28"/>
              </w:rPr>
              <w:t>我单位以“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人员外包及安全技术服务项目</w:t>
            </w:r>
            <w:r>
              <w:rPr>
                <w:rFonts w:ascii="仿宋_GB2312" w:eastAsia="仿宋_GB2312" w:hAnsi="仿宋" w:cs="仿宋" w:hint="eastAsia"/>
                <w:bCs/>
                <w:color w:val="000000"/>
                <w:sz w:val="28"/>
                <w:szCs w:val="28"/>
              </w:rPr>
              <w:t>”为重点，采用政府采购的模式推进实施，进一步加强和改进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人员外包</w:t>
            </w:r>
            <w:r>
              <w:rPr>
                <w:rFonts w:ascii="仿宋_GB2312" w:eastAsia="仿宋_GB2312" w:hAnsi="仿宋" w:cs="仿宋" w:hint="eastAsia"/>
                <w:bCs/>
                <w:color w:val="000000"/>
                <w:sz w:val="28"/>
                <w:szCs w:val="28"/>
              </w:rPr>
              <w:t>工作。</w:t>
            </w:r>
          </w:p>
          <w:p w:rsidR="00C937A4" w:rsidRDefault="00C937A4">
            <w:pPr>
              <w:pStyle w:val="a5"/>
              <w:widowControl/>
              <w:ind w:left="495" w:firstLineChars="0" w:firstLine="0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</w:tbl>
    <w:p w:rsidR="00C937A4" w:rsidRDefault="00B65E4F">
      <w:pPr>
        <w:widowControl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>备注：</w:t>
      </w:r>
    </w:p>
    <w:p w:rsidR="00C937A4" w:rsidRDefault="00B65E4F">
      <w:pPr>
        <w:widowControl/>
        <w:ind w:firstLineChars="200" w:firstLine="420"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cs="仿宋_GB2312"/>
          <w:kern w:val="0"/>
        </w:rPr>
        <w:t>1.</w:t>
      </w:r>
      <w:r>
        <w:rPr>
          <w:rFonts w:ascii="仿宋_GB2312" w:eastAsia="仿宋_GB2312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C937A4" w:rsidRDefault="00B65E4F">
      <w:pPr>
        <w:widowControl/>
        <w:ind w:firstLineChars="200" w:firstLine="420"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cs="仿宋_GB2312"/>
          <w:kern w:val="0"/>
        </w:rPr>
        <w:t>2.</w:t>
      </w:r>
      <w:r>
        <w:rPr>
          <w:rFonts w:ascii="仿宋_GB2312" w:eastAsia="仿宋_GB2312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eastAsia="仿宋_GB2312" w:hAnsi="宋体" w:cs="仿宋_GB2312"/>
          <w:kern w:val="0"/>
        </w:rPr>
        <w:t>X,</w:t>
      </w:r>
      <w:r>
        <w:rPr>
          <w:rFonts w:ascii="仿宋_GB2312" w:eastAsia="仿宋_GB2312" w:hAnsi="宋体" w:cs="仿宋_GB2312" w:hint="eastAsia"/>
          <w:kern w:val="0"/>
        </w:rPr>
        <w:t>得分</w:t>
      </w:r>
      <w:r>
        <w:rPr>
          <w:rFonts w:ascii="仿宋_GB2312" w:eastAsia="仿宋_GB2312" w:hAnsi="宋体" w:cs="仿宋_GB2312"/>
          <w:kern w:val="0"/>
        </w:rPr>
        <w:t>=</w:t>
      </w:r>
      <w:r>
        <w:rPr>
          <w:rFonts w:ascii="仿宋_GB2312" w:eastAsia="仿宋_GB2312" w:hAnsi="宋体" w:cs="仿宋_GB2312" w:hint="eastAsia"/>
          <w:kern w:val="0"/>
        </w:rPr>
        <w:t>权重</w:t>
      </w:r>
      <w:r>
        <w:rPr>
          <w:rFonts w:ascii="仿宋_GB2312" w:eastAsia="仿宋_GB2312" w:hAnsi="宋体" w:cs="仿宋_GB2312"/>
          <w:kern w:val="0"/>
        </w:rPr>
        <w:t>*B/A</w:t>
      </w:r>
      <w:r>
        <w:rPr>
          <w:rFonts w:ascii="仿宋_GB2312" w:eastAsia="仿宋_GB2312" w:hAnsi="宋体" w:cs="仿宋_GB2312" w:hint="eastAsia"/>
          <w:kern w:val="0"/>
        </w:rPr>
        <w:t>），反向指标（即目标值为≤</w:t>
      </w:r>
      <w:r>
        <w:rPr>
          <w:rFonts w:ascii="仿宋_GB2312" w:eastAsia="仿宋_GB2312" w:hAnsi="宋体" w:cs="仿宋_GB2312"/>
          <w:kern w:val="0"/>
        </w:rPr>
        <w:t>X</w:t>
      </w:r>
      <w:r>
        <w:rPr>
          <w:rFonts w:ascii="仿宋_GB2312" w:eastAsia="仿宋_GB2312" w:hAnsi="宋体" w:cs="仿宋_GB2312" w:hint="eastAsia"/>
          <w:kern w:val="0"/>
        </w:rPr>
        <w:t>，得分</w:t>
      </w:r>
      <w:r>
        <w:rPr>
          <w:rFonts w:ascii="仿宋_GB2312" w:eastAsia="仿宋_GB2312" w:hAnsi="宋体" w:cs="仿宋_GB2312"/>
          <w:kern w:val="0"/>
        </w:rPr>
        <w:t>=</w:t>
      </w:r>
      <w:r>
        <w:rPr>
          <w:rFonts w:ascii="仿宋_GB2312" w:eastAsia="仿宋_GB2312" w:hAnsi="宋体" w:cs="仿宋_GB2312" w:hint="eastAsia"/>
          <w:kern w:val="0"/>
        </w:rPr>
        <w:t>权重</w:t>
      </w:r>
      <w:r>
        <w:rPr>
          <w:rFonts w:ascii="仿宋_GB2312" w:eastAsia="仿宋_GB2312" w:hAnsi="宋体" w:cs="仿宋_GB2312"/>
          <w:kern w:val="0"/>
        </w:rPr>
        <w:t>*A/B</w:t>
      </w:r>
      <w:r>
        <w:rPr>
          <w:rFonts w:ascii="仿宋_GB2312" w:eastAsia="仿宋_GB2312" w:hAnsi="宋体" w:cs="仿宋_GB2312"/>
          <w:kern w:val="0"/>
        </w:rPr>
        <w:t>）</w:t>
      </w:r>
      <w:r>
        <w:rPr>
          <w:rFonts w:ascii="仿宋_GB2312" w:eastAsia="仿宋_GB2312" w:hAnsi="宋体" w:cs="仿宋_GB2312" w:hint="eastAsia"/>
          <w:kern w:val="0"/>
        </w:rPr>
        <w:t>，得分不得突破权重总额。定量指标先汇总完成数，再计算得分。</w:t>
      </w:r>
    </w:p>
    <w:p w:rsidR="00C937A4" w:rsidRDefault="00B65E4F">
      <w:pPr>
        <w:widowControl/>
        <w:ind w:firstLineChars="200" w:firstLine="420"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cs="仿宋_GB2312"/>
          <w:kern w:val="0"/>
        </w:rPr>
        <w:t>3.</w:t>
      </w:r>
      <w:r>
        <w:rPr>
          <w:rFonts w:ascii="仿宋_GB2312" w:eastAsia="仿宋_GB2312" w:hAnsi="宋体" w:cs="仿宋_GB2312" w:hint="eastAsia"/>
          <w:kern w:val="0"/>
        </w:rPr>
        <w:t>定性指标计分原则：达成预期指标、部分达成预期指标、未达成预期指标三档，分别按照该指标对应分值区间</w:t>
      </w:r>
      <w:r>
        <w:rPr>
          <w:rFonts w:ascii="仿宋_GB2312" w:eastAsia="仿宋_GB2312" w:hAnsi="宋体" w:cs="仿宋_GB2312" w:hint="eastAsia"/>
          <w:kern w:val="0"/>
        </w:rPr>
        <w:t>100%-80%</w:t>
      </w:r>
      <w:r>
        <w:rPr>
          <w:rFonts w:ascii="仿宋_GB2312" w:eastAsia="仿宋_GB2312" w:hAnsi="宋体" w:cs="仿宋_GB2312" w:hint="eastAsia"/>
          <w:kern w:val="0"/>
        </w:rPr>
        <w:t>（≥</w:t>
      </w:r>
      <w:r>
        <w:rPr>
          <w:rFonts w:ascii="仿宋_GB2312" w:eastAsia="仿宋_GB2312" w:hAnsi="宋体" w:cs="仿宋_GB2312" w:hint="eastAsia"/>
          <w:kern w:val="0"/>
        </w:rPr>
        <w:t>80%</w:t>
      </w:r>
      <w:r>
        <w:rPr>
          <w:rFonts w:ascii="仿宋_GB2312" w:eastAsia="仿宋_GB2312" w:hAnsi="宋体" w:cs="仿宋_GB2312" w:hint="eastAsia"/>
          <w:kern w:val="0"/>
        </w:rPr>
        <w:t>）、</w:t>
      </w:r>
      <w:r>
        <w:rPr>
          <w:rFonts w:ascii="仿宋_GB2312" w:eastAsia="仿宋_GB2312" w:hAnsi="宋体" w:cs="仿宋_GB2312" w:hint="eastAsia"/>
          <w:kern w:val="0"/>
        </w:rPr>
        <w:t>80%-50%</w:t>
      </w:r>
      <w:r>
        <w:rPr>
          <w:rFonts w:ascii="仿宋_GB2312" w:eastAsia="仿宋_GB2312" w:hAnsi="宋体" w:cs="仿宋_GB2312" w:hint="eastAsia"/>
          <w:kern w:val="0"/>
        </w:rPr>
        <w:t>（≥</w:t>
      </w:r>
      <w:r>
        <w:rPr>
          <w:rFonts w:ascii="仿宋_GB2312" w:eastAsia="仿宋_GB2312" w:hAnsi="宋体" w:cs="仿宋_GB2312" w:hint="eastAsia"/>
          <w:kern w:val="0"/>
        </w:rPr>
        <w:t>50%</w:t>
      </w:r>
      <w:r>
        <w:rPr>
          <w:rFonts w:ascii="仿宋_GB2312" w:eastAsia="仿宋_GB2312" w:hAnsi="宋体" w:cs="仿宋_GB2312" w:hint="eastAsia"/>
          <w:kern w:val="0"/>
        </w:rPr>
        <w:t>，＜</w:t>
      </w:r>
      <w:r>
        <w:rPr>
          <w:rFonts w:ascii="仿宋_GB2312" w:eastAsia="仿宋_GB2312" w:hAnsi="宋体" w:cs="仿宋_GB2312" w:hint="eastAsia"/>
          <w:kern w:val="0"/>
        </w:rPr>
        <w:t>80%</w:t>
      </w:r>
      <w:r>
        <w:rPr>
          <w:rFonts w:ascii="仿宋_GB2312" w:eastAsia="仿宋_GB2312" w:hAnsi="宋体" w:cs="仿宋_GB2312" w:hint="eastAsia"/>
          <w:kern w:val="0"/>
        </w:rPr>
        <w:t>）、</w:t>
      </w:r>
      <w:r>
        <w:rPr>
          <w:rFonts w:ascii="仿宋_GB2312" w:eastAsia="仿宋_GB2312" w:hAnsi="宋体" w:cs="仿宋_GB2312" w:hint="eastAsia"/>
          <w:kern w:val="0"/>
        </w:rPr>
        <w:t>50%-0%</w:t>
      </w:r>
      <w:r>
        <w:rPr>
          <w:rFonts w:ascii="仿宋_GB2312" w:eastAsia="仿宋_GB2312" w:hAnsi="宋体" w:cs="仿宋_GB2312" w:hint="eastAsia"/>
          <w:kern w:val="0"/>
        </w:rPr>
        <w:t>（＜</w:t>
      </w:r>
      <w:r>
        <w:rPr>
          <w:rFonts w:ascii="仿宋_GB2312" w:eastAsia="仿宋_GB2312" w:hAnsi="宋体" w:cs="仿宋_GB2312" w:hint="eastAsia"/>
          <w:kern w:val="0"/>
        </w:rPr>
        <w:t>50%</w:t>
      </w:r>
      <w:r>
        <w:rPr>
          <w:rFonts w:ascii="仿宋_GB2312" w:eastAsia="仿宋_GB2312" w:hAnsi="宋体" w:cs="仿宋_GB2312" w:hint="eastAsia"/>
          <w:kern w:val="0"/>
        </w:rPr>
        <w:t>）合理确定分值。汇总时，以资金额度为权重，对分值进行加权平均计算。</w:t>
      </w:r>
    </w:p>
    <w:p w:rsidR="00C937A4" w:rsidRDefault="00B65E4F">
      <w:r>
        <w:rPr>
          <w:rFonts w:ascii="仿宋_GB2312" w:eastAsia="仿宋_GB2312" w:hAnsi="宋体" w:cs="仿宋_GB2312"/>
          <w:kern w:val="0"/>
        </w:rPr>
        <w:t>4.</w:t>
      </w:r>
      <w:r>
        <w:rPr>
          <w:rFonts w:ascii="仿宋_GB2312" w:eastAsia="仿宋_GB2312" w:hAnsi="宋体" w:cs="仿宋_GB2312" w:hint="eastAsia"/>
          <w:kern w:val="0"/>
        </w:rPr>
        <w:t>基于经济性和必要性等因素考虑，满意度指标暂可不作为必评指标。</w:t>
      </w:r>
    </w:p>
    <w:sectPr w:rsidR="00C937A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632B"/>
    <w:rsid w:val="0009524A"/>
    <w:rsid w:val="0012776F"/>
    <w:rsid w:val="001F6B8D"/>
    <w:rsid w:val="003D5907"/>
    <w:rsid w:val="00436F7C"/>
    <w:rsid w:val="004E7DBD"/>
    <w:rsid w:val="005B0DCB"/>
    <w:rsid w:val="006A5057"/>
    <w:rsid w:val="006B7E23"/>
    <w:rsid w:val="00843174"/>
    <w:rsid w:val="0089632B"/>
    <w:rsid w:val="008C541C"/>
    <w:rsid w:val="0096042A"/>
    <w:rsid w:val="00A96D08"/>
    <w:rsid w:val="00B65E4F"/>
    <w:rsid w:val="00BE7242"/>
    <w:rsid w:val="00C937A4"/>
    <w:rsid w:val="00D5112F"/>
    <w:rsid w:val="00D57A4F"/>
    <w:rsid w:val="00D60628"/>
    <w:rsid w:val="00DC66B1"/>
    <w:rsid w:val="00E7621A"/>
    <w:rsid w:val="00F03D1E"/>
    <w:rsid w:val="00F53027"/>
    <w:rsid w:val="00F66C47"/>
    <w:rsid w:val="0C292C14"/>
    <w:rsid w:val="14DE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正文2"/>
    <w:basedOn w:val="a"/>
    <w:qFormat/>
    <w:pPr>
      <w:widowControl/>
    </w:pPr>
    <w:rPr>
      <w:rFonts w:eastAsia="Times New Roman"/>
      <w:kern w:val="0"/>
      <w:lang w:val="zh-CN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178</Words>
  <Characters>1021</Characters>
  <Application>Microsoft Office Word</Application>
  <DocSecurity>0</DocSecurity>
  <Lines>8</Lines>
  <Paragraphs>2</Paragraphs>
  <ScaleCrop>false</ScaleCrop>
  <Company>Micorosoft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建设局人事录入</cp:lastModifiedBy>
  <cp:revision>11</cp:revision>
  <dcterms:created xsi:type="dcterms:W3CDTF">2021-06-09T01:19:00Z</dcterms:created>
  <dcterms:modified xsi:type="dcterms:W3CDTF">2021-10-28T02:06:00Z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0E9282C9E06A4DA7A5BEA130632B700F</vt:lpwstr>
  </property>
</Properties>
</file>