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A" w:rsidRDefault="0011156A" w:rsidP="0011156A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0C2B16">
        <w:rPr>
          <w:rFonts w:ascii="仿宋_GB2312" w:eastAsia="仿宋_GB2312" w:hint="eastAsia"/>
          <w:sz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11156A" w:rsidRDefault="00B55529" w:rsidP="0011156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新冠肺炎防疫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1156A" w:rsidRDefault="0011156A" w:rsidP="0011156A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B55529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B55529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B55529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新冠疫情防控经费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11156A" w:rsidRDefault="00B55529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034215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 w:rsidR="00034215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034215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RPr="0014608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 w:rsidR="00034215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034215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63.4</w:t>
            </w:r>
          </w:p>
        </w:tc>
        <w:tc>
          <w:tcPr>
            <w:tcW w:w="1317" w:type="dxa"/>
            <w:gridSpan w:val="2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63.4</w:t>
            </w:r>
          </w:p>
        </w:tc>
        <w:tc>
          <w:tcPr>
            <w:tcW w:w="1466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1156A" w:rsidRDefault="000E4339" w:rsidP="000E4339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0E4339" w:rsidP="0014608A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下沉社区，</w:t>
            </w:r>
            <w:r w:rsidR="0014608A">
              <w:rPr>
                <w:rFonts w:ascii="仿宋_GB2312" w:eastAsia="仿宋_GB2312" w:hAnsi="宋体" w:hint="eastAsia"/>
                <w:kern w:val="0"/>
              </w:rPr>
              <w:t>干部职工</w:t>
            </w:r>
            <w:r w:rsidR="0014608A" w:rsidRPr="000E4339">
              <w:rPr>
                <w:rFonts w:ascii="仿宋_GB2312" w:eastAsia="仿宋_GB2312" w:hAnsi="宋体" w:hint="eastAsia"/>
                <w:kern w:val="0"/>
              </w:rPr>
              <w:t>下沉社区实现常态化</w:t>
            </w:r>
            <w:r w:rsidRPr="000E4339">
              <w:rPr>
                <w:rFonts w:ascii="仿宋_GB2312" w:eastAsia="仿宋_GB2312" w:hAnsi="宋体" w:hint="eastAsia"/>
                <w:kern w:val="0"/>
              </w:rPr>
              <w:t>，参与社区封控值守</w:t>
            </w:r>
            <w:r w:rsidR="0014608A">
              <w:rPr>
                <w:rFonts w:ascii="仿宋_GB2312" w:eastAsia="仿宋_GB2312" w:hAnsi="宋体"/>
                <w:kern w:val="0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11156A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11156A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B55529" w:rsidP="00503186">
            <w:pPr>
              <w:widowControl/>
              <w:snapToGrid w:val="0"/>
              <w:ind w:leftChars="100" w:left="21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按照</w:t>
            </w:r>
            <w:r w:rsidR="00636BD4">
              <w:rPr>
                <w:rFonts w:ascii="仿宋_GB2312" w:eastAsia="仿宋_GB2312" w:hAnsi="宋体" w:hint="eastAsia"/>
                <w:kern w:val="0"/>
              </w:rPr>
              <w:t>疫情</w:t>
            </w:r>
            <w:r>
              <w:rPr>
                <w:rFonts w:ascii="仿宋_GB2312" w:eastAsia="仿宋_GB2312" w:hAnsi="宋体" w:hint="eastAsia"/>
                <w:kern w:val="0"/>
              </w:rPr>
              <w:t>防控</w:t>
            </w:r>
            <w:r w:rsidR="00636BD4">
              <w:rPr>
                <w:rFonts w:ascii="仿宋_GB2312" w:eastAsia="仿宋_GB2312" w:hAnsi="宋体" w:hint="eastAsia"/>
                <w:kern w:val="0"/>
              </w:rPr>
              <w:t>要求，</w:t>
            </w:r>
            <w:r>
              <w:rPr>
                <w:rFonts w:ascii="仿宋_GB2312" w:eastAsia="仿宋_GB2312" w:hAnsi="宋体" w:hint="eastAsia"/>
                <w:kern w:val="0"/>
              </w:rPr>
              <w:t>组织</w:t>
            </w:r>
            <w:r w:rsidR="00636BD4">
              <w:rPr>
                <w:rFonts w:ascii="仿宋_GB2312" w:eastAsia="仿宋_GB2312" w:hAnsi="宋体" w:hint="eastAsia"/>
                <w:kern w:val="0"/>
              </w:rPr>
              <w:t>人员</w:t>
            </w:r>
            <w:r w:rsidR="00432709">
              <w:rPr>
                <w:rFonts w:ascii="仿宋_GB2312" w:eastAsia="仿宋_GB2312" w:hAnsi="宋体" w:hint="eastAsia"/>
                <w:kern w:val="0"/>
              </w:rPr>
              <w:t>下沉社区</w:t>
            </w:r>
            <w:r w:rsidR="00636BD4">
              <w:rPr>
                <w:rFonts w:ascii="仿宋_GB2312" w:eastAsia="仿宋_GB2312" w:hAnsi="宋体" w:hint="eastAsia"/>
                <w:kern w:val="0"/>
              </w:rPr>
              <w:t>防控职守</w:t>
            </w:r>
            <w:r w:rsidR="00503186">
              <w:rPr>
                <w:rFonts w:ascii="仿宋_GB2312" w:eastAsia="仿宋_GB2312" w:hAnsi="宋体" w:hint="eastAsia"/>
                <w:kern w:val="0"/>
              </w:rPr>
              <w:t>、</w:t>
            </w:r>
            <w:r w:rsidR="00503186" w:rsidRPr="00636BD4">
              <w:rPr>
                <w:rFonts w:ascii="仿宋_GB2312" w:eastAsia="仿宋_GB2312" w:hAnsi="宋体" w:hint="eastAsia"/>
                <w:kern w:val="0"/>
              </w:rPr>
              <w:t>排查四类人员，24小时值守社区</w:t>
            </w:r>
            <w:r w:rsidR="00636BD4">
              <w:rPr>
                <w:rFonts w:ascii="仿宋_GB2312" w:eastAsia="仿宋_GB2312" w:hAnsi="宋体" w:hint="eastAsia"/>
                <w:kern w:val="0"/>
              </w:rPr>
              <w:t>、宣传</w:t>
            </w:r>
            <w:r w:rsidR="00432709" w:rsidRPr="00432709">
              <w:rPr>
                <w:rFonts w:ascii="仿宋_GB2312" w:eastAsia="仿宋_GB2312" w:hAnsi="宋体" w:hint="eastAsia"/>
                <w:kern w:val="0"/>
              </w:rPr>
              <w:t>讲解疫情防控知识</w:t>
            </w:r>
            <w:r w:rsidR="00636BD4">
              <w:rPr>
                <w:rFonts w:ascii="仿宋_GB2312" w:eastAsia="仿宋_GB2312" w:hAnsi="宋体" w:hint="eastAsia"/>
                <w:kern w:val="0"/>
              </w:rPr>
              <w:t>、</w:t>
            </w:r>
            <w:r w:rsidR="00432709" w:rsidRPr="00432709">
              <w:rPr>
                <w:rFonts w:ascii="仿宋_GB2312" w:eastAsia="仿宋_GB2312" w:hAnsi="宋体" w:hint="eastAsia"/>
                <w:kern w:val="0"/>
              </w:rPr>
              <w:t>参与环境消毒整治等帮助群众排忧解难。</w:t>
            </w:r>
          </w:p>
        </w:tc>
        <w:tc>
          <w:tcPr>
            <w:tcW w:w="1466" w:type="dxa"/>
            <w:vAlign w:val="center"/>
          </w:tcPr>
          <w:p w:rsidR="0011156A" w:rsidRPr="00B55529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可持续发展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B55529" w:rsidP="00665A54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持续推进</w:t>
            </w:r>
            <w:r w:rsidR="00C42FEF">
              <w:rPr>
                <w:rFonts w:ascii="仿宋_GB2312" w:eastAsia="仿宋_GB2312" w:hAnsi="宋体" w:hint="eastAsia"/>
                <w:kern w:val="0"/>
              </w:rPr>
              <w:t>疫情防控队伍能力建设及疫情突发处置能力建设，</w:t>
            </w:r>
            <w:r>
              <w:rPr>
                <w:rFonts w:ascii="仿宋_GB2312" w:eastAsia="仿宋_GB2312" w:hAnsi="宋体" w:hint="eastAsia"/>
                <w:kern w:val="0"/>
              </w:rPr>
              <w:t>防止和控制传染病发生和疫情蔓延，减少危害人民健康的公共卫生问题</w:t>
            </w:r>
          </w:p>
        </w:tc>
        <w:tc>
          <w:tcPr>
            <w:tcW w:w="1466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11156A" w:rsidRDefault="00B5552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</w:t>
            </w:r>
            <w:r>
              <w:rPr>
                <w:rFonts w:ascii="仿宋_GB2312" w:eastAsia="仿宋_GB2312" w:hAnsi="宋体" w:hint="eastAsia"/>
                <w:kern w:val="0"/>
              </w:rPr>
              <w:lastRenderedPageBreak/>
              <w:t>标</w:t>
            </w:r>
          </w:p>
        </w:tc>
        <w:tc>
          <w:tcPr>
            <w:tcW w:w="1122" w:type="dxa"/>
            <w:vAlign w:val="center"/>
          </w:tcPr>
          <w:p w:rsidR="0011156A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社会公众满意度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0E4339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社区居民对疫情防控相关知识</w:t>
            </w:r>
            <w:r w:rsidR="00E04AB4">
              <w:rPr>
                <w:rFonts w:ascii="仿宋_GB2312" w:eastAsia="仿宋_GB2312" w:hAnsi="宋体" w:hint="eastAsia"/>
                <w:kern w:val="0"/>
              </w:rPr>
              <w:t>进一步提升</w:t>
            </w:r>
          </w:p>
        </w:tc>
        <w:tc>
          <w:tcPr>
            <w:tcW w:w="1466" w:type="dxa"/>
            <w:vAlign w:val="center"/>
          </w:tcPr>
          <w:p w:rsidR="0011156A" w:rsidRPr="00E04AB4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877" w:type="dxa"/>
            <w:vAlign w:val="center"/>
          </w:tcPr>
          <w:p w:rsidR="0011156A" w:rsidRDefault="00E04AB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1156A" w:rsidRDefault="00E33564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</w:p>
        </w:tc>
      </w:tr>
      <w:tr w:rsidR="0011156A" w:rsidTr="00E04AB4">
        <w:trPr>
          <w:trHeight w:val="4109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B55529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已完成</w:t>
            </w:r>
          </w:p>
        </w:tc>
      </w:tr>
      <w:tr w:rsidR="0011156A" w:rsidTr="000E4339">
        <w:trPr>
          <w:trHeight w:val="3789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11156A" w:rsidRPr="00FB5BAC" w:rsidRDefault="002745A8" w:rsidP="00FB5BAC">
            <w:pPr>
              <w:pStyle w:val="af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建立健全突发事件应对方案</w:t>
            </w:r>
            <w:r w:rsidR="00FB5BAC" w:rsidRPr="00FB5BAC">
              <w:rPr>
                <w:rFonts w:ascii="仿宋_GB2312" w:eastAsia="仿宋_GB2312" w:hAnsi="宋体" w:hint="eastAsia"/>
                <w:kern w:val="0"/>
              </w:rPr>
              <w:t>，</w:t>
            </w:r>
            <w:r>
              <w:rPr>
                <w:rFonts w:ascii="仿宋_GB2312" w:eastAsia="仿宋_GB2312" w:hAnsi="宋体" w:hint="eastAsia"/>
                <w:kern w:val="0"/>
              </w:rPr>
              <w:t>加强领导</w:t>
            </w:r>
            <w:r w:rsidR="00FB5BAC" w:rsidRPr="00FB5BAC">
              <w:rPr>
                <w:rFonts w:ascii="仿宋_GB2312" w:eastAsia="仿宋_GB2312" w:hAnsi="宋体" w:hint="eastAsia"/>
                <w:kern w:val="0"/>
              </w:rPr>
              <w:t>，快速反应，积极应对。</w:t>
            </w:r>
          </w:p>
          <w:p w:rsidR="00FB5BAC" w:rsidRDefault="00FB5BAC" w:rsidP="00FB5BAC">
            <w:pPr>
              <w:pStyle w:val="af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强调分工合作，在处置突发事件的过程中，强调相互配合，防止相互推诿，做好人员、财产、设备等筹备工作。</w:t>
            </w:r>
          </w:p>
          <w:p w:rsidR="00FB5BAC" w:rsidRPr="00FB5BAC" w:rsidRDefault="00FB5BAC" w:rsidP="00FB5BAC">
            <w:pPr>
              <w:pStyle w:val="af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采取果断措施，切断一切感染途径。</w:t>
            </w:r>
          </w:p>
        </w:tc>
      </w:tr>
    </w:tbl>
    <w:p w:rsidR="0011156A" w:rsidRDefault="0011156A" w:rsidP="0011156A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7548B9" w:rsidRPr="0011156A" w:rsidRDefault="007548B9"/>
    <w:sectPr w:rsidR="007548B9" w:rsidRPr="0011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93" w:rsidRDefault="00A06E93" w:rsidP="0011156A">
      <w:r>
        <w:separator/>
      </w:r>
    </w:p>
  </w:endnote>
  <w:endnote w:type="continuationSeparator" w:id="0">
    <w:p w:rsidR="00A06E93" w:rsidRDefault="00A06E93" w:rsidP="001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93" w:rsidRDefault="00A06E93" w:rsidP="0011156A">
      <w:r>
        <w:separator/>
      </w:r>
    </w:p>
  </w:footnote>
  <w:footnote w:type="continuationSeparator" w:id="0">
    <w:p w:rsidR="00A06E93" w:rsidRDefault="00A06E93" w:rsidP="0011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4583"/>
    <w:multiLevelType w:val="hybridMultilevel"/>
    <w:tmpl w:val="B4A2452A"/>
    <w:lvl w:ilvl="0" w:tplc="672EB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007CF"/>
    <w:rsid w:val="000103E7"/>
    <w:rsid w:val="00034215"/>
    <w:rsid w:val="000C2B16"/>
    <w:rsid w:val="000E4339"/>
    <w:rsid w:val="0011156A"/>
    <w:rsid w:val="001127B4"/>
    <w:rsid w:val="0014608A"/>
    <w:rsid w:val="00153309"/>
    <w:rsid w:val="001866DF"/>
    <w:rsid w:val="001916DF"/>
    <w:rsid w:val="00193FBF"/>
    <w:rsid w:val="00197869"/>
    <w:rsid w:val="001C4FCC"/>
    <w:rsid w:val="001E24F6"/>
    <w:rsid w:val="001F1F0D"/>
    <w:rsid w:val="00213A39"/>
    <w:rsid w:val="002446B3"/>
    <w:rsid w:val="002745A8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2265A"/>
    <w:rsid w:val="00432709"/>
    <w:rsid w:val="00487A46"/>
    <w:rsid w:val="004B3510"/>
    <w:rsid w:val="004C2678"/>
    <w:rsid w:val="00503186"/>
    <w:rsid w:val="005D30CF"/>
    <w:rsid w:val="005D4D5B"/>
    <w:rsid w:val="005E0293"/>
    <w:rsid w:val="005E3B00"/>
    <w:rsid w:val="00625EFB"/>
    <w:rsid w:val="00636BD4"/>
    <w:rsid w:val="00665145"/>
    <w:rsid w:val="00665A54"/>
    <w:rsid w:val="00666B95"/>
    <w:rsid w:val="006A7CED"/>
    <w:rsid w:val="006D4BAF"/>
    <w:rsid w:val="00703A7B"/>
    <w:rsid w:val="007055FA"/>
    <w:rsid w:val="00706F69"/>
    <w:rsid w:val="0074554E"/>
    <w:rsid w:val="007500E9"/>
    <w:rsid w:val="007548B9"/>
    <w:rsid w:val="007843F9"/>
    <w:rsid w:val="007A1AA5"/>
    <w:rsid w:val="007E3344"/>
    <w:rsid w:val="0081247B"/>
    <w:rsid w:val="008E11C9"/>
    <w:rsid w:val="00904D35"/>
    <w:rsid w:val="00917485"/>
    <w:rsid w:val="00937548"/>
    <w:rsid w:val="009561D6"/>
    <w:rsid w:val="00970494"/>
    <w:rsid w:val="009716AF"/>
    <w:rsid w:val="009803B6"/>
    <w:rsid w:val="00983B3A"/>
    <w:rsid w:val="00996D80"/>
    <w:rsid w:val="009E1090"/>
    <w:rsid w:val="009E4DFD"/>
    <w:rsid w:val="00A06E93"/>
    <w:rsid w:val="00AF3789"/>
    <w:rsid w:val="00B305C8"/>
    <w:rsid w:val="00B55529"/>
    <w:rsid w:val="00B63CD8"/>
    <w:rsid w:val="00B71253"/>
    <w:rsid w:val="00B81D2D"/>
    <w:rsid w:val="00C037C5"/>
    <w:rsid w:val="00C42FEF"/>
    <w:rsid w:val="00C44587"/>
    <w:rsid w:val="00D026B6"/>
    <w:rsid w:val="00D228AE"/>
    <w:rsid w:val="00D8708E"/>
    <w:rsid w:val="00E04AB4"/>
    <w:rsid w:val="00E10E6A"/>
    <w:rsid w:val="00E276CA"/>
    <w:rsid w:val="00E33564"/>
    <w:rsid w:val="00E60DE1"/>
    <w:rsid w:val="00E9296C"/>
    <w:rsid w:val="00EB5428"/>
    <w:rsid w:val="00EB6FA7"/>
    <w:rsid w:val="00F1647F"/>
    <w:rsid w:val="00FB5BAC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3">
    <w:name w:val="List Paragraph"/>
    <w:basedOn w:val="a"/>
    <w:uiPriority w:val="34"/>
    <w:rsid w:val="00FB5B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3">
    <w:name w:val="List Paragraph"/>
    <w:basedOn w:val="a"/>
    <w:uiPriority w:val="34"/>
    <w:rsid w:val="00FB5B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981</Characters>
  <Application>Microsoft Office Word</Application>
  <DocSecurity>0</DocSecurity>
  <Lines>8</Lines>
  <Paragraphs>2</Paragraphs>
  <ScaleCrop>false</ScaleCrop>
  <Company>QKPC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18</cp:revision>
  <dcterms:created xsi:type="dcterms:W3CDTF">2021-06-17T00:59:00Z</dcterms:created>
  <dcterms:modified xsi:type="dcterms:W3CDTF">2021-10-28T02:06:00Z</dcterms:modified>
</cp:coreProperties>
</file>