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附件2：</w:t>
      </w:r>
    </w:p>
    <w:p>
      <w:pPr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 w:cs="方正小标宋简体"/>
          <w:sz w:val="36"/>
          <w:szCs w:val="36"/>
          <w:lang w:val="en-US" w:eastAsia="zh-CN"/>
        </w:rPr>
        <w:t>2020</w:t>
      </w:r>
      <w:r>
        <w:rPr>
          <w:rFonts w:hint="eastAsia" w:ascii="方正小标宋简体" w:hAnsi="宋体" w:eastAsia="方正小标宋简体" w:cs="方正小标宋简体"/>
          <w:sz w:val="36"/>
          <w:szCs w:val="36"/>
        </w:rPr>
        <w:t>年度</w:t>
      </w:r>
      <w:r>
        <w:rPr>
          <w:rFonts w:hint="eastAsia" w:ascii="方正小标宋简体" w:hAnsi="宋体" w:eastAsia="方正小标宋简体" w:cs="方正小标宋简体"/>
          <w:sz w:val="36"/>
          <w:szCs w:val="36"/>
          <w:lang w:eastAsia="zh-CN"/>
        </w:rPr>
        <w:t>残疾人技能培训</w:t>
      </w:r>
      <w:r>
        <w:rPr>
          <w:rFonts w:hint="eastAsia" w:ascii="方正小标宋简体" w:hAnsi="宋体" w:eastAsia="方正小标宋简体" w:cs="方正小标宋简体"/>
          <w:sz w:val="36"/>
          <w:szCs w:val="36"/>
        </w:rPr>
        <w:t>项目自评表</w:t>
      </w:r>
    </w:p>
    <w:p>
      <w:pPr>
        <w:widowControl/>
        <w:jc w:val="left"/>
        <w:rPr>
          <w:rFonts w:hint="default" w:ascii="楷体_GB2312" w:hAnsi="黑体" w:eastAsia="楷体_GB2312"/>
          <w:kern w:val="0"/>
          <w:sz w:val="48"/>
          <w:szCs w:val="48"/>
          <w:lang w:val="en-US" w:eastAsia="zh-CN"/>
        </w:rPr>
      </w:pPr>
      <w:r>
        <w:rPr>
          <w:rFonts w:hint="eastAsia" w:ascii="楷体_GB2312" w:hAnsi="仿宋" w:eastAsia="楷体_GB2312" w:cs="楷体_GB2312"/>
          <w:kern w:val="0"/>
          <w:sz w:val="28"/>
          <w:szCs w:val="28"/>
        </w:rPr>
        <w:t>单位名称：</w:t>
      </w:r>
      <w:r>
        <w:rPr>
          <w:rFonts w:hint="eastAsia" w:ascii="楷体_GB2312" w:hAnsi="仿宋" w:eastAsia="楷体_GB2312" w:cs="楷体_GB2312"/>
          <w:kern w:val="0"/>
          <w:sz w:val="28"/>
          <w:szCs w:val="28"/>
          <w:lang w:eastAsia="zh-CN"/>
        </w:rPr>
        <w:t>硚口区残联</w:t>
      </w:r>
      <w:r>
        <w:rPr>
          <w:rFonts w:ascii="楷体_GB2312" w:hAnsi="仿宋" w:eastAsia="楷体_GB2312" w:cs="楷体_GB2312"/>
          <w:kern w:val="0"/>
          <w:sz w:val="28"/>
          <w:szCs w:val="28"/>
        </w:rPr>
        <w:t xml:space="preserve">              </w:t>
      </w:r>
      <w:r>
        <w:rPr>
          <w:rFonts w:hint="eastAsia" w:ascii="楷体_GB2312" w:hAnsi="仿宋" w:eastAsia="楷体_GB2312" w:cs="楷体_GB2312"/>
          <w:kern w:val="0"/>
          <w:sz w:val="28"/>
          <w:szCs w:val="28"/>
        </w:rPr>
        <w:t>填报日期：</w:t>
      </w:r>
      <w:r>
        <w:rPr>
          <w:rFonts w:hint="eastAsia" w:ascii="楷体_GB2312" w:hAnsi="仿宋" w:eastAsia="楷体_GB2312" w:cs="楷体_GB2312"/>
          <w:kern w:val="0"/>
          <w:sz w:val="28"/>
          <w:szCs w:val="28"/>
          <w:lang w:val="en-US" w:eastAsia="zh-CN"/>
        </w:rPr>
        <w:t>2021年6月</w:t>
      </w:r>
      <w:bookmarkStart w:id="0" w:name="_GoBack"/>
      <w:bookmarkEnd w:id="0"/>
      <w:r>
        <w:rPr>
          <w:rFonts w:hint="eastAsia" w:ascii="楷体_GB2312" w:hAnsi="仿宋" w:eastAsia="楷体_GB2312" w:cs="楷体_GB2312"/>
          <w:kern w:val="0"/>
          <w:sz w:val="28"/>
          <w:szCs w:val="28"/>
          <w:lang w:val="en-US" w:eastAsia="zh-CN"/>
        </w:rPr>
        <w:t>28日</w:t>
      </w:r>
    </w:p>
    <w:tbl>
      <w:tblPr>
        <w:tblStyle w:val="5"/>
        <w:tblW w:w="89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700"/>
        <w:gridCol w:w="1122"/>
        <w:gridCol w:w="1319"/>
        <w:gridCol w:w="923"/>
        <w:gridCol w:w="394"/>
        <w:gridCol w:w="1466"/>
        <w:gridCol w:w="660"/>
        <w:gridCol w:w="659"/>
        <w:gridCol w:w="8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项目名称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both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残疾人技能培训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主管部门</w:t>
            </w:r>
          </w:p>
        </w:tc>
        <w:tc>
          <w:tcPr>
            <w:tcW w:w="3364" w:type="dxa"/>
            <w:gridSpan w:val="3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eastAsia="zh-CN"/>
              </w:rPr>
              <w:t>硚口区残联</w:t>
            </w:r>
          </w:p>
        </w:tc>
        <w:tc>
          <w:tcPr>
            <w:tcW w:w="2520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项目实施单位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widowControl/>
              <w:snapToGrid w:val="0"/>
              <w:jc w:val="both"/>
              <w:rPr>
                <w:rFonts w:hint="eastAsia" w:ascii="仿宋_GB2312" w:hAnsi="宋体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硚口区残疾人劳动服务部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项目类别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.部门预算项目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.财政专项资金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项目属性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.持续性项目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.新增性项目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项目类型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.常年性项目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.延续性项目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 3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.一次性项目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预算执行情况（万元）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</w:t>
            </w:r>
            <w:r>
              <w:rPr>
                <w:rFonts w:ascii="仿宋_GB2312" w:hAnsi="宋体" w:eastAsia="仿宋_GB2312" w:cs="仿宋_GB2312"/>
                <w:kern w:val="0"/>
              </w:rPr>
              <w:t>20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分）</w:t>
            </w: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31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预算数（</w:t>
            </w:r>
            <w:r>
              <w:rPr>
                <w:rFonts w:ascii="仿宋_GB2312" w:hAnsi="宋体" w:eastAsia="仿宋_GB2312" w:cs="仿宋_GB2312"/>
                <w:kern w:val="0"/>
              </w:rPr>
              <w:t>A）</w:t>
            </w:r>
          </w:p>
        </w:tc>
        <w:tc>
          <w:tcPr>
            <w:tcW w:w="1317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执行数</w:t>
            </w:r>
            <w:r>
              <w:rPr>
                <w:rFonts w:ascii="仿宋_GB2312" w:hAnsi="宋体" w:eastAsia="仿宋_GB2312" w:cs="仿宋_GB2312"/>
                <w:kern w:val="0"/>
              </w:rPr>
              <w:t>（B）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执行率</w:t>
            </w:r>
            <w:r>
              <w:rPr>
                <w:rFonts w:ascii="仿宋_GB2312" w:hAnsi="宋体" w:eastAsia="仿宋_GB2312" w:cs="仿宋_GB2312"/>
                <w:kern w:val="0"/>
              </w:rPr>
              <w:t>（B/A）</w:t>
            </w:r>
          </w:p>
        </w:tc>
        <w:tc>
          <w:tcPr>
            <w:tcW w:w="219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得分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</w:t>
            </w:r>
            <w:r>
              <w:rPr>
                <w:rFonts w:ascii="仿宋_GB2312" w:hAnsi="宋体" w:eastAsia="仿宋_GB2312" w:cs="仿宋_GB2312"/>
                <w:kern w:val="0"/>
              </w:rPr>
              <w:t>20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分</w:t>
            </w:r>
            <w:r>
              <w:rPr>
                <w:rFonts w:ascii="仿宋_GB2312" w:hAnsi="宋体" w:eastAsia="仿宋_GB2312" w:cs="仿宋_GB2312"/>
                <w:kern w:val="0"/>
              </w:rPr>
              <w:t>*</w:t>
            </w:r>
            <w:r>
              <w:rPr>
                <w:rFonts w:hint="eastAsia" w:ascii="仿宋_GB2312" w:hAnsi="宋体" w:eastAsia="仿宋_GB2312" w:cs="仿宋_GB2312"/>
                <w:kern w:val="0"/>
              </w:rPr>
              <w:t>执行率）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年度财政资金总额</w:t>
            </w:r>
          </w:p>
        </w:tc>
        <w:tc>
          <w:tcPr>
            <w:tcW w:w="1319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1.034</w:t>
            </w:r>
          </w:p>
        </w:tc>
        <w:tc>
          <w:tcPr>
            <w:tcW w:w="1317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1.034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219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</w:t>
            </w:r>
            <w:r>
              <w:rPr>
                <w:rFonts w:ascii="仿宋_GB2312" w:hAnsi="宋体" w:eastAsia="仿宋_GB2312" w:cs="仿宋_GB2312"/>
                <w:kern w:val="0"/>
                <w:sz w:val="20"/>
              </w:rPr>
              <w:t>XX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分）</w:t>
            </w:r>
          </w:p>
        </w:tc>
        <w:tc>
          <w:tcPr>
            <w:tcW w:w="700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年初目标值（</w:t>
            </w:r>
            <w:r>
              <w:rPr>
                <w:rFonts w:ascii="仿宋_GB2312" w:hAnsi="宋体" w:eastAsia="仿宋_GB2312" w:cs="仿宋_GB2312"/>
                <w:kern w:val="0"/>
              </w:rPr>
              <w:t>A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实际完成值（</w:t>
            </w:r>
            <w:r>
              <w:rPr>
                <w:rFonts w:ascii="仿宋_GB2312" w:hAnsi="宋体" w:eastAsia="仿宋_GB2312" w:cs="仿宋_GB2312"/>
                <w:kern w:val="0"/>
              </w:rPr>
              <w:t>B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0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2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color w:val="auto"/>
                <w:kern w:val="0"/>
                <w:sz w:val="18"/>
                <w:szCs w:val="18"/>
                <w:lang w:val="en-US" w:eastAsia="zh-CN"/>
              </w:rPr>
              <w:t>参加培训</w:t>
            </w:r>
            <w:r>
              <w:rPr>
                <w:rFonts w:hint="eastAsia" w:ascii="Times New Roman" w:hAnsi="Times New Roman" w:eastAsia="仿宋"/>
                <w:color w:val="auto"/>
                <w:kern w:val="0"/>
                <w:sz w:val="18"/>
                <w:szCs w:val="18"/>
              </w:rPr>
              <w:t>人数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"/>
                <w:color w:val="auto"/>
                <w:kern w:val="0"/>
                <w:sz w:val="18"/>
                <w:szCs w:val="18"/>
                <w:lang w:val="en-US" w:eastAsia="zh-CN"/>
              </w:rPr>
              <w:t>160</w:t>
            </w:r>
            <w:r>
              <w:rPr>
                <w:rFonts w:hint="eastAsia" w:ascii="Times New Roman" w:hAnsi="Times New Roman" w:eastAsia="仿宋"/>
                <w:color w:val="auto"/>
                <w:kern w:val="0"/>
                <w:sz w:val="18"/>
                <w:szCs w:val="18"/>
              </w:rPr>
              <w:t>人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"/>
                <w:color w:val="auto"/>
                <w:kern w:val="0"/>
                <w:sz w:val="18"/>
                <w:szCs w:val="18"/>
                <w:lang w:val="en-US" w:eastAsia="zh-CN"/>
              </w:rPr>
              <w:t>90</w:t>
            </w:r>
            <w:r>
              <w:rPr>
                <w:rFonts w:hint="eastAsia" w:ascii="Times New Roman" w:hAnsi="Times New Roman" w:eastAsia="仿宋"/>
                <w:color w:val="auto"/>
                <w:kern w:val="0"/>
                <w:sz w:val="18"/>
                <w:szCs w:val="18"/>
                <w:lang w:val="en-US" w:eastAsia="zh-CN"/>
              </w:rPr>
              <w:t>人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"/>
                <w:color w:val="auto"/>
                <w:kern w:val="0"/>
                <w:sz w:val="18"/>
                <w:szCs w:val="18"/>
                <w:lang w:val="en-US" w:eastAsia="zh-CN"/>
              </w:rPr>
              <w:t>8.44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2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color w:val="auto"/>
                <w:kern w:val="0"/>
                <w:sz w:val="18"/>
                <w:szCs w:val="18"/>
              </w:rPr>
              <w:t>完成时间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rFonts w:hint="eastAsia" w:eastAsia="仿宋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rFonts w:hint="eastAsia" w:ascii="Times New Roman" w:hAnsi="Times New Roman" w:eastAsia="仿宋"/>
                <w:color w:val="auto"/>
                <w:kern w:val="0"/>
                <w:sz w:val="18"/>
                <w:szCs w:val="18"/>
                <w:lang w:val="en-US" w:eastAsia="zh-CN"/>
              </w:rPr>
              <w:t>年12月底前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rFonts w:hint="eastAsia" w:eastAsia="仿宋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rFonts w:hint="eastAsia" w:ascii="Times New Roman" w:hAnsi="Times New Roman" w:eastAsia="仿宋"/>
                <w:color w:val="auto"/>
                <w:kern w:val="0"/>
                <w:sz w:val="18"/>
                <w:szCs w:val="18"/>
                <w:lang w:val="en-US" w:eastAsia="zh-CN"/>
              </w:rPr>
              <w:t>年12月底前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2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color w:val="auto"/>
                <w:kern w:val="0"/>
                <w:sz w:val="18"/>
                <w:szCs w:val="18"/>
                <w:lang w:val="en-US" w:eastAsia="zh-CN"/>
              </w:rPr>
              <w:t>质量指标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color w:val="auto"/>
                <w:kern w:val="0"/>
                <w:sz w:val="18"/>
                <w:szCs w:val="18"/>
              </w:rPr>
              <w:t>任务完成率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"/>
                <w:color w:val="auto"/>
                <w:kern w:val="0"/>
                <w:sz w:val="18"/>
                <w:szCs w:val="18"/>
                <w:lang w:val="en-US" w:eastAsia="zh-CN"/>
              </w:rPr>
              <w:t>56.25</w:t>
            </w:r>
            <w:r>
              <w:rPr>
                <w:rFonts w:hint="eastAsia" w:ascii="Times New Roman" w:hAnsi="Times New Roman" w:eastAsia="仿宋"/>
                <w:color w:val="auto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"/>
                <w:color w:val="auto"/>
                <w:kern w:val="0"/>
                <w:sz w:val="18"/>
                <w:szCs w:val="18"/>
                <w:lang w:val="en-US" w:eastAsia="zh-CN"/>
              </w:rPr>
              <w:t>5.63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0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2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color w:val="auto"/>
                <w:kern w:val="0"/>
                <w:sz w:val="18"/>
                <w:szCs w:val="18"/>
                <w:lang w:val="en-US" w:eastAsia="zh-CN"/>
              </w:rPr>
              <w:t>扩宽残疾人知识面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color w:val="auto"/>
                <w:kern w:val="0"/>
                <w:sz w:val="18"/>
                <w:szCs w:val="18"/>
              </w:rPr>
              <w:t>中长期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color w:val="auto"/>
                <w:kern w:val="0"/>
                <w:sz w:val="18"/>
                <w:szCs w:val="18"/>
              </w:rPr>
              <w:t>中长期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0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满意度指标</w:t>
            </w:r>
          </w:p>
        </w:tc>
        <w:tc>
          <w:tcPr>
            <w:tcW w:w="112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color w:val="auto"/>
                <w:kern w:val="0"/>
                <w:sz w:val="18"/>
                <w:szCs w:val="18"/>
              </w:rPr>
              <w:t>残疾人满意度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color w:val="auto"/>
                <w:kern w:val="0"/>
                <w:sz w:val="18"/>
                <w:szCs w:val="18"/>
              </w:rPr>
              <w:t>≥90%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color w:val="auto"/>
                <w:kern w:val="0"/>
                <w:sz w:val="18"/>
                <w:szCs w:val="18"/>
              </w:rPr>
              <w:t>≥90%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总分</w:t>
            </w:r>
          </w:p>
        </w:tc>
        <w:tc>
          <w:tcPr>
            <w:tcW w:w="8120" w:type="dxa"/>
            <w:gridSpan w:val="9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89.07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6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偏差大或</w:t>
            </w:r>
          </w:p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目标未完成</w:t>
            </w:r>
          </w:p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原因分析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eastAsia="zh-CN"/>
              </w:rPr>
              <w:t>残疾人技能培训需求少，参与率低；</w:t>
            </w:r>
          </w:p>
          <w:p>
            <w:pPr>
              <w:widowControl/>
              <w:jc w:val="left"/>
              <w:rPr>
                <w:rFonts w:hint="eastAsia" w:ascii="仿宋_GB2312" w:hAnsi="宋体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eastAsia="zh-CN"/>
              </w:rPr>
              <w:t>培训时间长，有的想参训的已就业残疾人，因自身工作无法做到两者兼顾；</w:t>
            </w:r>
          </w:p>
          <w:p>
            <w:pPr>
              <w:widowControl/>
              <w:jc w:val="left"/>
              <w:rPr>
                <w:rFonts w:hint="eastAsia" w:ascii="仿宋_GB2312" w:hAnsi="宋体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eastAsia="zh-CN"/>
              </w:rPr>
              <w:t>有的专业培训需要用到专业的教学器材及工具进行实操，需要到专业的培训机构开展培训，路程远，残疾人出行不便，参加培训路费较高。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4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改进措施及</w:t>
            </w:r>
          </w:p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结果应用方案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eastAsia="zh-CN"/>
              </w:rPr>
              <w:t>加大宣传力度，利用微信公众号广泛宣传残疾人技能培训项目。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eastAsia="zh-CN"/>
              </w:rPr>
              <w:t>加强街道、社区相关工作人员业务培训，提高业务能力。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eastAsia="zh-CN"/>
              </w:rPr>
              <w:t>落实动态更新管理，及时落实新办证残疾人就业及培训需求。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eastAsia="zh-CN"/>
              </w:rPr>
              <w:t>根据《武汉市残疾人职业培训补贴办法》（武残规〔2021〕1号），为参加培训的残疾人发放交通补贴。</w:t>
            </w:r>
          </w:p>
        </w:tc>
      </w:tr>
    </w:tbl>
    <w:p>
      <w:pPr>
        <w:widowControl/>
        <w:rPr>
          <w:rFonts w:ascii="仿宋_GB2312" w:hAnsi="宋体" w:eastAsia="仿宋_GB2312"/>
          <w:kern w:val="0"/>
        </w:rPr>
      </w:pPr>
      <w:r>
        <w:rPr>
          <w:rFonts w:hint="eastAsia" w:ascii="仿宋_GB2312" w:hAnsi="宋体" w:eastAsia="仿宋_GB2312" w:cs="仿宋_GB2312"/>
          <w:kern w:val="0"/>
        </w:rPr>
        <w:t>备注：</w:t>
      </w:r>
    </w:p>
    <w:p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1.</w:t>
      </w:r>
      <w:r>
        <w:rPr>
          <w:rFonts w:hint="eastAsia" w:ascii="仿宋_GB2312" w:hAnsi="宋体" w:eastAsia="仿宋_GB2312" w:cs="仿宋_GB2312"/>
          <w:kern w:val="0"/>
        </w:rPr>
        <w:t>预算执行情况口径：预算数为调整后财政资金总额（包括上年结余结转），执行数为资金使用单位财政资金实际支出数。</w:t>
      </w:r>
    </w:p>
    <w:p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2.</w:t>
      </w:r>
      <w:r>
        <w:rPr>
          <w:rFonts w:hint="eastAsia" w:ascii="仿宋_GB2312" w:hAnsi="宋体" w:eastAsia="仿宋_GB2312" w:cs="仿宋_GB2312"/>
          <w:kern w:val="0"/>
        </w:rPr>
        <w:t>定量指标完成数汇总原则：绝对值直接累加计算，相对值按照资金额度加权平均计算。定量指标计分原则：正向指标（即目标值为≥</w:t>
      </w:r>
      <w:r>
        <w:rPr>
          <w:rFonts w:ascii="仿宋_GB2312" w:hAnsi="宋体" w:eastAsia="仿宋_GB2312" w:cs="仿宋_GB2312"/>
          <w:kern w:val="0"/>
        </w:rPr>
        <w:t>X,</w:t>
      </w:r>
      <w:r>
        <w:rPr>
          <w:rFonts w:hint="eastAsia" w:ascii="仿宋_GB2312" w:hAnsi="宋体" w:eastAsia="仿宋_GB2312" w:cs="仿宋_GB2312"/>
          <w:kern w:val="0"/>
        </w:rPr>
        <w:t>得分</w:t>
      </w:r>
      <w:r>
        <w:rPr>
          <w:rFonts w:ascii="仿宋_GB2312" w:hAnsi="宋体" w:eastAsia="仿宋_GB2312" w:cs="仿宋_GB2312"/>
          <w:kern w:val="0"/>
        </w:rPr>
        <w:t>=</w:t>
      </w:r>
      <w:r>
        <w:rPr>
          <w:rFonts w:hint="eastAsia" w:ascii="仿宋_GB2312" w:hAnsi="宋体" w:eastAsia="仿宋_GB2312" w:cs="仿宋_GB2312"/>
          <w:kern w:val="0"/>
        </w:rPr>
        <w:t>权重</w:t>
      </w:r>
      <w:r>
        <w:rPr>
          <w:rFonts w:ascii="仿宋_GB2312" w:hAnsi="宋体" w:eastAsia="仿宋_GB2312" w:cs="仿宋_GB2312"/>
          <w:kern w:val="0"/>
        </w:rPr>
        <w:t>*B/A</w:t>
      </w:r>
      <w:r>
        <w:rPr>
          <w:rFonts w:hint="eastAsia" w:ascii="仿宋_GB2312" w:hAnsi="宋体" w:eastAsia="仿宋_GB2312" w:cs="仿宋_GB2312"/>
          <w:kern w:val="0"/>
        </w:rPr>
        <w:t>），反向指标（即目标值为≤</w:t>
      </w:r>
      <w:r>
        <w:rPr>
          <w:rFonts w:ascii="仿宋_GB2312" w:hAnsi="宋体" w:eastAsia="仿宋_GB2312" w:cs="仿宋_GB2312"/>
          <w:kern w:val="0"/>
        </w:rPr>
        <w:t>X</w:t>
      </w:r>
      <w:r>
        <w:rPr>
          <w:rFonts w:hint="eastAsia" w:ascii="仿宋_GB2312" w:hAnsi="宋体" w:eastAsia="仿宋_GB2312" w:cs="仿宋_GB2312"/>
          <w:kern w:val="0"/>
        </w:rPr>
        <w:t>，得分</w:t>
      </w:r>
      <w:r>
        <w:rPr>
          <w:rFonts w:ascii="仿宋_GB2312" w:hAnsi="宋体" w:eastAsia="仿宋_GB2312" w:cs="仿宋_GB2312"/>
          <w:kern w:val="0"/>
        </w:rPr>
        <w:t>=</w:t>
      </w:r>
      <w:r>
        <w:rPr>
          <w:rFonts w:hint="eastAsia" w:ascii="仿宋_GB2312" w:hAnsi="宋体" w:eastAsia="仿宋_GB2312" w:cs="仿宋_GB2312"/>
          <w:kern w:val="0"/>
        </w:rPr>
        <w:t>权重</w:t>
      </w:r>
      <w:r>
        <w:rPr>
          <w:rFonts w:ascii="仿宋_GB2312" w:hAnsi="宋体" w:eastAsia="仿宋_GB2312" w:cs="仿宋_GB2312"/>
          <w:kern w:val="0"/>
        </w:rPr>
        <w:t>*A/B）</w:t>
      </w:r>
      <w:r>
        <w:rPr>
          <w:rFonts w:hint="eastAsia" w:ascii="仿宋_GB2312" w:hAnsi="宋体" w:eastAsia="仿宋_GB2312" w:cs="仿宋_GB2312"/>
          <w:kern w:val="0"/>
        </w:rPr>
        <w:t>，得分不得突破权重总额。定量指标先汇总完成数，再计算得分。</w:t>
      </w:r>
    </w:p>
    <w:p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3.</w:t>
      </w:r>
      <w:r>
        <w:rPr>
          <w:rFonts w:hint="eastAsia" w:ascii="仿宋_GB2312" w:hAnsi="宋体" w:eastAsia="仿宋_GB2312" w:cs="仿宋_GB2312"/>
          <w:kern w:val="0"/>
        </w:rPr>
        <w:t>定性指标计分原则：达成预期指标、部分达成预期指标、未达成预期指标三档，分别按照该指标对应分值区间100%-80%（≥80%）、80%-50%（≥50%，＜80%）、50%-0%（＜50%）合理确定分值。汇总时，以资金额度为权重，对分值进行加权平均计算。</w:t>
      </w:r>
    </w:p>
    <w:p>
      <w:pPr>
        <w:widowControl/>
        <w:ind w:firstLine="42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hAnsi="宋体" w:eastAsia="仿宋_GB2312" w:cs="仿宋_GB2312"/>
          <w:kern w:val="0"/>
        </w:rPr>
        <w:t>4.</w:t>
      </w:r>
      <w:r>
        <w:rPr>
          <w:rFonts w:hint="eastAsia" w:ascii="仿宋_GB2312" w:hAnsi="宋体" w:eastAsia="仿宋_GB2312" w:cs="仿宋_GB2312"/>
          <w:kern w:val="0"/>
        </w:rPr>
        <w:t>基于经济性和必要性等因素考虑，满意度指标暂可不作为必评指标。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D76818"/>
    <w:rsid w:val="00034F47"/>
    <w:rsid w:val="00042A30"/>
    <w:rsid w:val="001522AD"/>
    <w:rsid w:val="001657EF"/>
    <w:rsid w:val="001668FE"/>
    <w:rsid w:val="00174934"/>
    <w:rsid w:val="001B44D4"/>
    <w:rsid w:val="001D3B09"/>
    <w:rsid w:val="001F398B"/>
    <w:rsid w:val="002049B3"/>
    <w:rsid w:val="00210D9B"/>
    <w:rsid w:val="00222E8F"/>
    <w:rsid w:val="002317B5"/>
    <w:rsid w:val="002344D6"/>
    <w:rsid w:val="00243652"/>
    <w:rsid w:val="00284407"/>
    <w:rsid w:val="0029326D"/>
    <w:rsid w:val="002E2E90"/>
    <w:rsid w:val="0030133D"/>
    <w:rsid w:val="0037296F"/>
    <w:rsid w:val="004679DD"/>
    <w:rsid w:val="00487259"/>
    <w:rsid w:val="005216FB"/>
    <w:rsid w:val="005A719A"/>
    <w:rsid w:val="005E36B7"/>
    <w:rsid w:val="005F132B"/>
    <w:rsid w:val="0061269E"/>
    <w:rsid w:val="0063163E"/>
    <w:rsid w:val="00667DE6"/>
    <w:rsid w:val="006F19B8"/>
    <w:rsid w:val="00734EEE"/>
    <w:rsid w:val="0080739E"/>
    <w:rsid w:val="0083581C"/>
    <w:rsid w:val="00851486"/>
    <w:rsid w:val="008626AB"/>
    <w:rsid w:val="00867A35"/>
    <w:rsid w:val="00877932"/>
    <w:rsid w:val="00877C84"/>
    <w:rsid w:val="008923DF"/>
    <w:rsid w:val="00896D7B"/>
    <w:rsid w:val="008B3C4F"/>
    <w:rsid w:val="008C703A"/>
    <w:rsid w:val="0092434F"/>
    <w:rsid w:val="00966551"/>
    <w:rsid w:val="009851BC"/>
    <w:rsid w:val="00A44BCC"/>
    <w:rsid w:val="00A71983"/>
    <w:rsid w:val="00AF2D62"/>
    <w:rsid w:val="00B521C3"/>
    <w:rsid w:val="00B5240E"/>
    <w:rsid w:val="00B80B4F"/>
    <w:rsid w:val="00B978E5"/>
    <w:rsid w:val="00BD274B"/>
    <w:rsid w:val="00C26CE1"/>
    <w:rsid w:val="00C461FD"/>
    <w:rsid w:val="00D00482"/>
    <w:rsid w:val="00D105A4"/>
    <w:rsid w:val="00D308E6"/>
    <w:rsid w:val="00DA1A2C"/>
    <w:rsid w:val="00DA7880"/>
    <w:rsid w:val="00DB3BA1"/>
    <w:rsid w:val="00DB6C0E"/>
    <w:rsid w:val="00DE0AFE"/>
    <w:rsid w:val="00DE201B"/>
    <w:rsid w:val="00DE4BEF"/>
    <w:rsid w:val="00DF02A5"/>
    <w:rsid w:val="00E11FE3"/>
    <w:rsid w:val="00E37A19"/>
    <w:rsid w:val="00E92758"/>
    <w:rsid w:val="00E94139"/>
    <w:rsid w:val="00EA34A2"/>
    <w:rsid w:val="00EA73DB"/>
    <w:rsid w:val="00EB38CA"/>
    <w:rsid w:val="00ED7CD6"/>
    <w:rsid w:val="00F05F6A"/>
    <w:rsid w:val="00F20E52"/>
    <w:rsid w:val="01476721"/>
    <w:rsid w:val="0157109F"/>
    <w:rsid w:val="018644CE"/>
    <w:rsid w:val="02A857E9"/>
    <w:rsid w:val="02F54126"/>
    <w:rsid w:val="033D5EE2"/>
    <w:rsid w:val="034F7355"/>
    <w:rsid w:val="03E1343B"/>
    <w:rsid w:val="044862FC"/>
    <w:rsid w:val="04D84FA7"/>
    <w:rsid w:val="04EB1B15"/>
    <w:rsid w:val="04F826C3"/>
    <w:rsid w:val="054D4EC5"/>
    <w:rsid w:val="07880624"/>
    <w:rsid w:val="07CD3BB7"/>
    <w:rsid w:val="08317A35"/>
    <w:rsid w:val="08A1139D"/>
    <w:rsid w:val="08C77DC0"/>
    <w:rsid w:val="08DE6DD1"/>
    <w:rsid w:val="0909300E"/>
    <w:rsid w:val="09BE6DD1"/>
    <w:rsid w:val="09F225C9"/>
    <w:rsid w:val="0A661570"/>
    <w:rsid w:val="0A732A7A"/>
    <w:rsid w:val="0B870799"/>
    <w:rsid w:val="0BDD7F1E"/>
    <w:rsid w:val="0C0F1AE0"/>
    <w:rsid w:val="0C2F382F"/>
    <w:rsid w:val="0C503881"/>
    <w:rsid w:val="0C5B0D1E"/>
    <w:rsid w:val="0CE90916"/>
    <w:rsid w:val="0E44536C"/>
    <w:rsid w:val="0E50035C"/>
    <w:rsid w:val="0ED52AFA"/>
    <w:rsid w:val="0F44737F"/>
    <w:rsid w:val="0F83114D"/>
    <w:rsid w:val="1015100D"/>
    <w:rsid w:val="116D6B5D"/>
    <w:rsid w:val="12BB2084"/>
    <w:rsid w:val="13794761"/>
    <w:rsid w:val="139C11DC"/>
    <w:rsid w:val="14004C5F"/>
    <w:rsid w:val="146D1191"/>
    <w:rsid w:val="14733796"/>
    <w:rsid w:val="14B026A1"/>
    <w:rsid w:val="1530134C"/>
    <w:rsid w:val="15B66A03"/>
    <w:rsid w:val="15B66EA4"/>
    <w:rsid w:val="15E35D4B"/>
    <w:rsid w:val="164C5698"/>
    <w:rsid w:val="16C13086"/>
    <w:rsid w:val="17184BF0"/>
    <w:rsid w:val="17B129E8"/>
    <w:rsid w:val="17E547C7"/>
    <w:rsid w:val="1845686E"/>
    <w:rsid w:val="1995368C"/>
    <w:rsid w:val="19C557D4"/>
    <w:rsid w:val="1AAA1E2F"/>
    <w:rsid w:val="1AC519BB"/>
    <w:rsid w:val="1BAB5941"/>
    <w:rsid w:val="1BB3194F"/>
    <w:rsid w:val="1C126201"/>
    <w:rsid w:val="1CCD5F40"/>
    <w:rsid w:val="1D7D0FD0"/>
    <w:rsid w:val="1D9146C5"/>
    <w:rsid w:val="1DBC08DE"/>
    <w:rsid w:val="1E0F1EB7"/>
    <w:rsid w:val="1F2A4EC4"/>
    <w:rsid w:val="1F922DA8"/>
    <w:rsid w:val="20300009"/>
    <w:rsid w:val="209457AE"/>
    <w:rsid w:val="20DE0417"/>
    <w:rsid w:val="20FC5309"/>
    <w:rsid w:val="213415F2"/>
    <w:rsid w:val="214E4749"/>
    <w:rsid w:val="221D6099"/>
    <w:rsid w:val="224C2D59"/>
    <w:rsid w:val="22504E8A"/>
    <w:rsid w:val="22997584"/>
    <w:rsid w:val="22BB3F8A"/>
    <w:rsid w:val="22F15709"/>
    <w:rsid w:val="23216107"/>
    <w:rsid w:val="233125E0"/>
    <w:rsid w:val="23602787"/>
    <w:rsid w:val="23B85430"/>
    <w:rsid w:val="240034CD"/>
    <w:rsid w:val="251E632A"/>
    <w:rsid w:val="25530F24"/>
    <w:rsid w:val="256C06F1"/>
    <w:rsid w:val="257A16BE"/>
    <w:rsid w:val="25AE5DBF"/>
    <w:rsid w:val="264731E0"/>
    <w:rsid w:val="26847D74"/>
    <w:rsid w:val="286D135A"/>
    <w:rsid w:val="289020DE"/>
    <w:rsid w:val="28B34515"/>
    <w:rsid w:val="28CD67A3"/>
    <w:rsid w:val="2982590E"/>
    <w:rsid w:val="29894A4C"/>
    <w:rsid w:val="2A1046FF"/>
    <w:rsid w:val="2A1B2529"/>
    <w:rsid w:val="2AB11168"/>
    <w:rsid w:val="2AF47990"/>
    <w:rsid w:val="2B393E5E"/>
    <w:rsid w:val="2BB46DAD"/>
    <w:rsid w:val="2BC51CAD"/>
    <w:rsid w:val="2D03607B"/>
    <w:rsid w:val="2D8A4083"/>
    <w:rsid w:val="2E025177"/>
    <w:rsid w:val="2E04387F"/>
    <w:rsid w:val="2E301ECB"/>
    <w:rsid w:val="2E54517D"/>
    <w:rsid w:val="30A11D69"/>
    <w:rsid w:val="30DC2983"/>
    <w:rsid w:val="310738A3"/>
    <w:rsid w:val="316F1A80"/>
    <w:rsid w:val="31B90D19"/>
    <w:rsid w:val="32335040"/>
    <w:rsid w:val="32E63B05"/>
    <w:rsid w:val="33486A0C"/>
    <w:rsid w:val="33577570"/>
    <w:rsid w:val="33602502"/>
    <w:rsid w:val="3408644D"/>
    <w:rsid w:val="346002D7"/>
    <w:rsid w:val="35A0081B"/>
    <w:rsid w:val="3614365E"/>
    <w:rsid w:val="36946637"/>
    <w:rsid w:val="36AC5BC9"/>
    <w:rsid w:val="36B96E12"/>
    <w:rsid w:val="36CB399D"/>
    <w:rsid w:val="38391600"/>
    <w:rsid w:val="387E0F59"/>
    <w:rsid w:val="38807E0F"/>
    <w:rsid w:val="392C4000"/>
    <w:rsid w:val="399E6682"/>
    <w:rsid w:val="3B067D4C"/>
    <w:rsid w:val="3B6E51D1"/>
    <w:rsid w:val="3B8C095F"/>
    <w:rsid w:val="3BB10117"/>
    <w:rsid w:val="3CAD3639"/>
    <w:rsid w:val="3D582C66"/>
    <w:rsid w:val="3DC11D95"/>
    <w:rsid w:val="3DD76818"/>
    <w:rsid w:val="3E2A3FD6"/>
    <w:rsid w:val="3E2A67A1"/>
    <w:rsid w:val="3E74770A"/>
    <w:rsid w:val="3EF80827"/>
    <w:rsid w:val="3F875F67"/>
    <w:rsid w:val="40B651EE"/>
    <w:rsid w:val="417F66CF"/>
    <w:rsid w:val="419C5FF3"/>
    <w:rsid w:val="423D2BCC"/>
    <w:rsid w:val="426B79ED"/>
    <w:rsid w:val="42AA727D"/>
    <w:rsid w:val="44942598"/>
    <w:rsid w:val="45B47FA4"/>
    <w:rsid w:val="45E628BD"/>
    <w:rsid w:val="462C640C"/>
    <w:rsid w:val="46541BF9"/>
    <w:rsid w:val="465D4341"/>
    <w:rsid w:val="46BB2633"/>
    <w:rsid w:val="46C07E09"/>
    <w:rsid w:val="48396896"/>
    <w:rsid w:val="48544AC4"/>
    <w:rsid w:val="48612D4F"/>
    <w:rsid w:val="48E177C6"/>
    <w:rsid w:val="4A593692"/>
    <w:rsid w:val="4A722551"/>
    <w:rsid w:val="4AE40019"/>
    <w:rsid w:val="4B034CE9"/>
    <w:rsid w:val="4B1B4AF8"/>
    <w:rsid w:val="4B56029C"/>
    <w:rsid w:val="4B83646B"/>
    <w:rsid w:val="4BB733C7"/>
    <w:rsid w:val="4C925FD2"/>
    <w:rsid w:val="4CD5715B"/>
    <w:rsid w:val="4D3D7C92"/>
    <w:rsid w:val="4D9F40F0"/>
    <w:rsid w:val="4DFE5EB9"/>
    <w:rsid w:val="4E187EF4"/>
    <w:rsid w:val="4E6C48F9"/>
    <w:rsid w:val="4EC85F37"/>
    <w:rsid w:val="4EE05B0F"/>
    <w:rsid w:val="50191BCA"/>
    <w:rsid w:val="505D61E5"/>
    <w:rsid w:val="50EB4E84"/>
    <w:rsid w:val="50EF4338"/>
    <w:rsid w:val="514724DD"/>
    <w:rsid w:val="518E51F9"/>
    <w:rsid w:val="52732B06"/>
    <w:rsid w:val="55C7044E"/>
    <w:rsid w:val="55CA40D7"/>
    <w:rsid w:val="563D217E"/>
    <w:rsid w:val="5659218A"/>
    <w:rsid w:val="566A5462"/>
    <w:rsid w:val="56AF3095"/>
    <w:rsid w:val="57994B0F"/>
    <w:rsid w:val="57A41DAF"/>
    <w:rsid w:val="57A753EE"/>
    <w:rsid w:val="58267366"/>
    <w:rsid w:val="586033B4"/>
    <w:rsid w:val="58B36B70"/>
    <w:rsid w:val="59256654"/>
    <w:rsid w:val="595F0BD9"/>
    <w:rsid w:val="5987511A"/>
    <w:rsid w:val="59CB4796"/>
    <w:rsid w:val="5A486925"/>
    <w:rsid w:val="5AA21E8B"/>
    <w:rsid w:val="5AA7363F"/>
    <w:rsid w:val="5AE64637"/>
    <w:rsid w:val="5AE66BA0"/>
    <w:rsid w:val="5B5F74E4"/>
    <w:rsid w:val="5C3A11BD"/>
    <w:rsid w:val="5CF43643"/>
    <w:rsid w:val="5D4648A5"/>
    <w:rsid w:val="5D7F2F18"/>
    <w:rsid w:val="5FDE507B"/>
    <w:rsid w:val="6006452A"/>
    <w:rsid w:val="60166C59"/>
    <w:rsid w:val="602D4C90"/>
    <w:rsid w:val="60A718F1"/>
    <w:rsid w:val="625C68F1"/>
    <w:rsid w:val="62D622E0"/>
    <w:rsid w:val="633C5037"/>
    <w:rsid w:val="637A4195"/>
    <w:rsid w:val="653B39E9"/>
    <w:rsid w:val="65C15694"/>
    <w:rsid w:val="66720A0E"/>
    <w:rsid w:val="668F64E8"/>
    <w:rsid w:val="66DD6A40"/>
    <w:rsid w:val="685607C8"/>
    <w:rsid w:val="69155452"/>
    <w:rsid w:val="6A367A40"/>
    <w:rsid w:val="6A3F78A7"/>
    <w:rsid w:val="6AB83728"/>
    <w:rsid w:val="6ACB047C"/>
    <w:rsid w:val="6ACD12BD"/>
    <w:rsid w:val="6AF32132"/>
    <w:rsid w:val="6B03041F"/>
    <w:rsid w:val="6B1A54CA"/>
    <w:rsid w:val="6B613480"/>
    <w:rsid w:val="6D331863"/>
    <w:rsid w:val="6F32670F"/>
    <w:rsid w:val="6F925E47"/>
    <w:rsid w:val="700D1670"/>
    <w:rsid w:val="700D3276"/>
    <w:rsid w:val="7014556B"/>
    <w:rsid w:val="709926B5"/>
    <w:rsid w:val="717C1C06"/>
    <w:rsid w:val="71E15A78"/>
    <w:rsid w:val="72B278EE"/>
    <w:rsid w:val="74660099"/>
    <w:rsid w:val="74715B5E"/>
    <w:rsid w:val="75436214"/>
    <w:rsid w:val="758642EB"/>
    <w:rsid w:val="758C64E4"/>
    <w:rsid w:val="76242436"/>
    <w:rsid w:val="764D385A"/>
    <w:rsid w:val="76AC5B3C"/>
    <w:rsid w:val="78501125"/>
    <w:rsid w:val="78767257"/>
    <w:rsid w:val="790B750E"/>
    <w:rsid w:val="79537605"/>
    <w:rsid w:val="795C0D35"/>
    <w:rsid w:val="795C6511"/>
    <w:rsid w:val="799A1831"/>
    <w:rsid w:val="79BA6A6D"/>
    <w:rsid w:val="79E923A4"/>
    <w:rsid w:val="7A30674A"/>
    <w:rsid w:val="7A3C5CCC"/>
    <w:rsid w:val="7B395036"/>
    <w:rsid w:val="7B3C7E6B"/>
    <w:rsid w:val="7B4724DC"/>
    <w:rsid w:val="7B7529A7"/>
    <w:rsid w:val="7BA82F61"/>
    <w:rsid w:val="7BF41D70"/>
    <w:rsid w:val="7BF96FD9"/>
    <w:rsid w:val="7C740AD6"/>
    <w:rsid w:val="7C877173"/>
    <w:rsid w:val="7C921569"/>
    <w:rsid w:val="7E8A4E44"/>
    <w:rsid w:val="7EE20AEE"/>
    <w:rsid w:val="7F3C3184"/>
    <w:rsid w:val="7F57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paragraph" w:customStyle="1" w:styleId="9">
    <w:name w:val="_Style 8"/>
    <w:basedOn w:val="1"/>
    <w:qFormat/>
    <w:uiPriority w:val="0"/>
  </w:style>
  <w:style w:type="character" w:customStyle="1" w:styleId="10">
    <w:name w:val="批注框文本 Char"/>
    <w:basedOn w:val="7"/>
    <w:link w:val="2"/>
    <w:qFormat/>
    <w:uiPriority w:val="0"/>
    <w:rPr>
      <w:kern w:val="2"/>
      <w:sz w:val="18"/>
      <w:szCs w:val="18"/>
    </w:rPr>
  </w:style>
  <w:style w:type="paragraph" w:styleId="11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武汉市财政局</Company>
  <Pages>25</Pages>
  <Words>1342</Words>
  <Characters>7651</Characters>
  <Lines>63</Lines>
  <Paragraphs>17</Paragraphs>
  <TotalTime>0</TotalTime>
  <ScaleCrop>false</ScaleCrop>
  <LinksUpToDate>false</LinksUpToDate>
  <CharactersWithSpaces>8976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2021-03-16T07:05:00Z</dcterms:created>
  <dc:creator>yc</dc:creator>
  <cp:lastModifiedBy>郑大小姐❤丶</cp:lastModifiedBy>
  <cp:lastPrinted>2021-04-13T02:41:00Z</cp:lastPrinted>
  <dcterms:modified xsi:type="dcterms:W3CDTF">2021-06-29T03:07:48Z</dcterms:modified>
  <cp:revision>126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0CCC1FACF21F459AB11426C80320A939</vt:lpwstr>
  </property>
</Properties>
</file>