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附件5</w:t>
      </w:r>
    </w:p>
    <w:p>
      <w:pPr>
        <w:pStyle w:val="2"/>
        <w:jc w:val="center"/>
        <w:rPr>
          <w:rFonts w:ascii="黑体" w:eastAsia="黑体"/>
          <w:b w:val="0"/>
          <w:w w:val="90"/>
        </w:rPr>
      </w:pPr>
    </w:p>
    <w:p>
      <w:pPr>
        <w:pStyle w:val="2"/>
        <w:jc w:val="center"/>
        <w:rPr>
          <w:rFonts w:ascii="黑体" w:eastAsia="黑体"/>
          <w:b w:val="0"/>
          <w:w w:val="90"/>
        </w:rPr>
      </w:pPr>
      <w:r>
        <w:rPr>
          <w:rFonts w:hint="eastAsia" w:ascii="黑体" w:eastAsia="黑体"/>
          <w:b w:val="0"/>
          <w:w w:val="90"/>
          <w:lang w:eastAsia="zh-CN"/>
        </w:rPr>
        <w:t>硚口区残疾人联合会</w:t>
      </w:r>
      <w:r>
        <w:rPr>
          <w:rFonts w:hint="eastAsia" w:ascii="黑体" w:eastAsia="黑体"/>
          <w:b w:val="0"/>
          <w:w w:val="90"/>
        </w:rPr>
        <w:t>整体支出绩效自评报告</w:t>
      </w:r>
      <w:r>
        <w:rPr>
          <w:rFonts w:ascii="黑体" w:eastAsia="黑体"/>
          <w:b w:val="0"/>
          <w:w w:val="90"/>
        </w:rPr>
        <w:br w:type="textWrapping"/>
      </w:r>
    </w:p>
    <w:p>
      <w:pPr>
        <w:snapToGrid w:val="0"/>
        <w:spacing w:line="600" w:lineRule="atLeast"/>
        <w:ind w:right="24"/>
        <w:jc w:val="left"/>
        <w:rPr>
          <w:rFonts w:ascii="仿宋_GB2312" w:eastAsia="仿宋_GB2312"/>
          <w:sz w:val="32"/>
        </w:rPr>
      </w:pPr>
    </w:p>
    <w:p>
      <w:pPr>
        <w:snapToGrid w:val="0"/>
        <w:spacing w:line="600" w:lineRule="atLeast"/>
        <w:ind w:right="24"/>
        <w:jc w:val="left"/>
        <w:rPr>
          <w:rFonts w:ascii="仿宋_GB2312" w:eastAsia="仿宋_GB2312"/>
          <w:sz w:val="32"/>
        </w:rPr>
      </w:pPr>
    </w:p>
    <w:p>
      <w:pPr>
        <w:rPr>
          <w:rFonts w:ascii="仿宋_GB2312"/>
          <w:b/>
          <w:szCs w:val="32"/>
        </w:rPr>
      </w:pPr>
    </w:p>
    <w:p>
      <w:pPr>
        <w:rPr>
          <w:rFonts w:ascii="仿宋_GB2312"/>
          <w:b/>
          <w:szCs w:val="32"/>
        </w:rPr>
      </w:pPr>
    </w:p>
    <w:p>
      <w:pPr>
        <w:rPr>
          <w:rFonts w:ascii="仿宋_GB2312"/>
          <w:b/>
          <w:sz w:val="36"/>
          <w:szCs w:val="36"/>
        </w:rPr>
      </w:pPr>
    </w:p>
    <w:p>
      <w:pPr>
        <w:rPr>
          <w:rFonts w:ascii="黑体" w:eastAsia="黑体"/>
          <w:b/>
          <w:sz w:val="36"/>
          <w:szCs w:val="36"/>
          <w:u w:val="single"/>
        </w:rPr>
      </w:pPr>
      <w:r>
        <w:rPr>
          <w:rFonts w:hint="eastAsia" w:ascii="仿宋_GB2312"/>
          <w:b/>
          <w:sz w:val="36"/>
          <w:szCs w:val="36"/>
        </w:rPr>
        <w:t xml:space="preserve">     </w:t>
      </w:r>
      <w:r>
        <w:rPr>
          <w:rFonts w:hint="eastAsia" w:ascii="黑体" w:eastAsia="黑体"/>
          <w:bCs/>
          <w:sz w:val="36"/>
          <w:szCs w:val="36"/>
        </w:rPr>
        <w:t xml:space="preserve">部门（单位）名称：  </w:t>
      </w:r>
      <w:r>
        <w:rPr>
          <w:rFonts w:hint="eastAsia" w:asci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eastAsia="黑体"/>
          <w:bCs/>
          <w:sz w:val="36"/>
          <w:szCs w:val="36"/>
          <w:u w:val="single"/>
          <w:lang w:eastAsia="zh-CN"/>
        </w:rPr>
        <w:t>硚口区残疾人联合会</w:t>
      </w:r>
      <w:r>
        <w:rPr>
          <w:rFonts w:hint="eastAsia" w:ascii="黑体" w:eastAsia="黑体"/>
          <w:bCs/>
          <w:sz w:val="36"/>
          <w:szCs w:val="36"/>
          <w:u w:val="single"/>
        </w:rPr>
        <w:t xml:space="preserve"> </w:t>
      </w:r>
    </w:p>
    <w:p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 xml:space="preserve"> </w:t>
      </w:r>
    </w:p>
    <w:p>
      <w:pPr>
        <w:jc w:val="center"/>
        <w:rPr>
          <w:rFonts w:ascii="黑体" w:eastAsia="黑体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6"/>
          <w:szCs w:val="36"/>
        </w:rPr>
      </w:pPr>
    </w:p>
    <w:p>
      <w:pPr>
        <w:jc w:val="center"/>
        <w:rPr>
          <w:rFonts w:ascii="仿宋_GB2312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  <w:lang w:val="en-US" w:eastAsia="zh-CN"/>
        </w:rPr>
        <w:t>2020</w:t>
      </w:r>
      <w:r>
        <w:rPr>
          <w:rFonts w:hint="eastAsia" w:ascii="黑体" w:eastAsia="黑体"/>
          <w:bCs/>
          <w:sz w:val="32"/>
          <w:szCs w:val="32"/>
        </w:rPr>
        <w:t xml:space="preserve">  年   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8</w:t>
      </w:r>
      <w:r>
        <w:rPr>
          <w:rFonts w:hint="eastAsia" w:ascii="黑体" w:eastAsia="黑体"/>
          <w:bCs/>
          <w:sz w:val="32"/>
          <w:szCs w:val="32"/>
        </w:rPr>
        <w:t xml:space="preserve">  月</w:t>
      </w:r>
    </w:p>
    <w:p>
      <w:pPr>
        <w:adjustRightInd w:val="0"/>
        <w:snapToGrid w:val="0"/>
        <w:spacing w:line="580" w:lineRule="atLeas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一、部门概况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(一)部门主要职能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1、贯彻执行党和国家有关残疾人工作的方针、政策和法律；协助政府实施有关残疾人事业的法规、政策、发展规划和计划，对有关业务领域进行指导和管理。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2、听取残疾人意见，反映残疾人要求，维护残疾人合法权益，为残疾人服务。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3、团结、教育残疾人遵纪守法，履行应尽的义务，发扬乐观进取精神，自尊、自信、自强、自立，为社会主义现代化建设贡献力量。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、开展组织实施残疾人康复、教育、劳动就业、扶贫、职业培训、文化、体育用品供应、福利、社会服务、无障碍设施和残疾预防等工作，创造良好的环境和条件，扶助残疾人平等参与社会生活，推动残疾人社会保险工作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5、弘扬人道主义，宣传残疾人事业，沟通政府、社会与残疾人之间的联系。动员社会理解、尊重、关心、帮助残疾人。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6、指导和管理全区各类残疾人社会团体组织和直属事业单位的工作。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7、开展残疾人事业的国内交流与合作。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8、承担区政府残疾人工作协调委员会的日常工作，做好综合、组织、协调工作。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9、承办上级交办的有关部事项。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(二)部门预算单位构成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硚口区残疾人联合会</w:t>
      </w:r>
      <w:r>
        <w:rPr>
          <w:rFonts w:hint="eastAsia" w:ascii="仿宋_GB2312" w:eastAsia="仿宋_GB2312"/>
          <w:bCs/>
          <w:sz w:val="32"/>
          <w:szCs w:val="32"/>
        </w:rPr>
        <w:t>由机关及下属</w:t>
      </w:r>
      <w:r>
        <w:rPr>
          <w:rFonts w:hint="eastAsia" w:ascii="仿宋_GB2312" w:eastAsia="仿宋_GB2312"/>
          <w:bCs/>
          <w:kern w:val="44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bCs/>
          <w:sz w:val="32"/>
          <w:szCs w:val="32"/>
        </w:rPr>
        <w:t>个二级单位组成，其中：事业单位</w:t>
      </w:r>
      <w:r>
        <w:rPr>
          <w:rFonts w:hint="eastAsia" w:ascii="仿宋_GB2312" w:eastAsia="仿宋_GB2312"/>
          <w:bCs/>
          <w:kern w:val="44"/>
          <w:sz w:val="32"/>
          <w:szCs w:val="32"/>
          <w:lang w:val="en-US" w:eastAsia="zh-CN"/>
        </w:rPr>
        <w:t>2个</w:t>
      </w:r>
      <w:r>
        <w:rPr>
          <w:rFonts w:hint="eastAsia" w:ascii="仿宋_GB2312" w:eastAsia="仿宋_GB2312"/>
          <w:bCs/>
          <w:sz w:val="32"/>
          <w:szCs w:val="32"/>
        </w:rPr>
        <w:t>(含原参照公务员法管理事业单位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bCs/>
          <w:sz w:val="32"/>
          <w:szCs w:val="32"/>
        </w:rPr>
        <w:t>个)。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(三)部门人员构成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硚口区残疾人联合会</w:t>
      </w:r>
      <w:r>
        <w:rPr>
          <w:rFonts w:hint="eastAsia" w:ascii="仿宋_GB2312" w:eastAsia="仿宋_GB2312"/>
          <w:bCs/>
          <w:sz w:val="32"/>
          <w:szCs w:val="32"/>
        </w:rPr>
        <w:t>总编制人数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人，其中：事业编制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人(其中：参照公务员法管理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Cs/>
          <w:sz w:val="32"/>
          <w:szCs w:val="32"/>
        </w:rPr>
        <w:t>人)。在职实有人数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bCs/>
          <w:sz w:val="32"/>
          <w:szCs w:val="32"/>
        </w:rPr>
        <w:t>人，其中：事业编制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sz w:val="32"/>
          <w:szCs w:val="32"/>
        </w:rPr>
        <w:t>人(其中：参照公务员法管理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Cs/>
          <w:sz w:val="32"/>
          <w:szCs w:val="32"/>
        </w:rPr>
        <w:t>人)。</w:t>
      </w:r>
    </w:p>
    <w:p>
      <w:pPr>
        <w:adjustRightInd w:val="0"/>
        <w:snapToGrid w:val="0"/>
        <w:spacing w:line="580" w:lineRule="atLeas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(二)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hint="eastAsia" w:ascii="仿宋_GB2312" w:eastAsia="仿宋_GB2312"/>
          <w:sz w:val="32"/>
        </w:rPr>
        <w:t>整体支出</w:t>
      </w:r>
      <w:r>
        <w:rPr>
          <w:rFonts w:hint="eastAsia" w:ascii="仿宋_GB2312" w:eastAsia="仿宋_GB2312"/>
          <w:sz w:val="32"/>
          <w:szCs w:val="32"/>
        </w:rPr>
        <w:t>预算绩效目标</w:t>
      </w:r>
      <w:r>
        <w:rPr>
          <w:rFonts w:hint="eastAsia" w:ascii="仿宋_GB2312" w:eastAsia="仿宋_GB2312"/>
          <w:sz w:val="32"/>
        </w:rPr>
        <w:t>（根据部门履行职责情况设置绩效指标)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1.产出目标(包括:产出数量和质量指标)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  <w:lang w:eastAsia="zh-CN"/>
        </w:rPr>
        <w:t>质量指标：残疾人综合服务中心完工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数量指标：残疾辅具适配</w:t>
      </w:r>
      <w:r>
        <w:rPr>
          <w:rFonts w:hint="eastAsia" w:ascii="仿宋_GB2312" w:eastAsia="仿宋_GB2312"/>
          <w:sz w:val="32"/>
          <w:lang w:val="en-US" w:eastAsia="zh-CN"/>
        </w:rPr>
        <w:t>750件</w:t>
      </w:r>
    </w:p>
    <w:p>
      <w:pPr>
        <w:numPr>
          <w:ilvl w:val="0"/>
          <w:numId w:val="1"/>
        </w:num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效果目标(包括:经济效益、社会效益、生态效益和可持续影响指标)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>可持续影响指标：提供残疾人活动场所（全面开放）</w:t>
      </w:r>
    </w:p>
    <w:p>
      <w:pPr>
        <w:numPr>
          <w:ilvl w:val="0"/>
          <w:numId w:val="0"/>
        </w:num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val="en-US" w:eastAsia="zh-CN"/>
        </w:rPr>
        <w:t>社会公众或服务对象满意度指标：残疾人满意度90%</w:t>
      </w:r>
    </w:p>
    <w:p>
      <w:pPr>
        <w:adjustRightInd w:val="0"/>
        <w:snapToGrid w:val="0"/>
        <w:spacing w:line="580" w:lineRule="atLeas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黑体" w:eastAsia="黑体"/>
          <w:sz w:val="32"/>
        </w:rPr>
        <w:t xml:space="preserve">二、部门整体支出绩效分析 </w:t>
      </w:r>
    </w:p>
    <w:p>
      <w:pPr>
        <w:adjustRightInd w:val="0"/>
        <w:snapToGrid w:val="0"/>
        <w:spacing w:line="58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(一)</w:t>
      </w:r>
      <w:r>
        <w:rPr>
          <w:rFonts w:hint="eastAsia" w:ascii="仿宋_GB2312" w:eastAsia="仿宋_GB2312"/>
          <w:sz w:val="32"/>
          <w:szCs w:val="32"/>
        </w:rPr>
        <w:t>部门整体支出情况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1.支出规模和结构 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2019年总支出32238550.82元。</w:t>
      </w:r>
    </w:p>
    <w:p>
      <w:pPr>
        <w:numPr>
          <w:ilvl w:val="0"/>
          <w:numId w:val="2"/>
        </w:num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基本支出情况（包括：基本支出结构，“三公”经费情况及与上年度比较）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2019年基本支出3082620元，其中工资福利支出2540846元，商品和服务支出486273元，对个人和家庭的补助55501元。另外，三公以费中的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公务接待费上下年预算无变化，本年支出640元比去年减少945元，是因为本年公务接待只发生1次，接待16人。</w:t>
      </w:r>
    </w:p>
    <w:p>
      <w:pPr>
        <w:numPr>
          <w:ilvl w:val="0"/>
          <w:numId w:val="0"/>
        </w:numPr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val="en-US" w:eastAsia="zh-CN"/>
        </w:rPr>
        <w:t>公务车运行费上年预算6万元，本年预算3万元；上年决算59520.04元，本年决算20205.89元，本年比上年减少，是因为本年公务车改革，只有一辆公务车。本年无出国境费。</w:t>
      </w:r>
    </w:p>
    <w:p>
      <w:pPr>
        <w:numPr>
          <w:ilvl w:val="0"/>
          <w:numId w:val="2"/>
        </w:num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项目支出情况</w:t>
      </w:r>
    </w:p>
    <w:p>
      <w:pPr>
        <w:numPr>
          <w:ilvl w:val="0"/>
          <w:numId w:val="0"/>
        </w:numPr>
        <w:adjustRightInd w:val="0"/>
        <w:snapToGrid w:val="0"/>
        <w:spacing w:line="580" w:lineRule="atLeas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2019年项目支出29155930.82元，预算安排29155930.82元，实际资金到位29155930.82元，到位率100%。</w:t>
      </w:r>
    </w:p>
    <w:p>
      <w:pPr>
        <w:adjustRightInd w:val="0"/>
        <w:snapToGrid w:val="0"/>
        <w:spacing w:line="580" w:lineRule="atLeast"/>
        <w:ind w:firstLine="640" w:firstLineChars="200"/>
        <w:rPr>
          <w:rFonts w:ascii="仿宋_GB2312" w:eastAsia="仿宋_GB2312"/>
          <w:color w:val="FF0000"/>
          <w:sz w:val="32"/>
        </w:rPr>
      </w:pPr>
      <w:r>
        <w:rPr>
          <w:rFonts w:hint="eastAsia" w:ascii="仿宋_GB2312" w:eastAsia="仿宋_GB2312"/>
          <w:color w:val="auto"/>
          <w:sz w:val="32"/>
        </w:rPr>
        <w:t>(二)部门整体支出预算绩效目标的完成情况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default" w:ascii="仿宋_GB2312" w:eastAsia="仿宋_GB2312"/>
          <w:sz w:val="32"/>
          <w:lang w:val="en-US"/>
        </w:rPr>
      </w:pPr>
      <w:r>
        <w:rPr>
          <w:rFonts w:hint="eastAsia" w:ascii="仿宋_GB2312" w:eastAsia="仿宋_GB2312"/>
          <w:sz w:val="32"/>
          <w:lang w:val="en-US" w:eastAsia="zh-CN"/>
        </w:rPr>
        <w:t>1、深化全国残疾预防综合实验区创建（为高危孕产妇提供产前筛查和诊断服务；为初筛阳性的0-6岁儿童提供残疾复筛和诊断服务；为残疾人提供残疾评定服务）；2、启动残联改革（100%）；3、残疾人励志教育基地建设（建成）；4、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200名</w:t>
      </w:r>
      <w:r>
        <w:rPr>
          <w:rFonts w:hint="eastAsia" w:ascii="仿宋_GB2312" w:eastAsia="仿宋_GB2312"/>
          <w:sz w:val="32"/>
          <w:lang w:val="en-US" w:eastAsia="zh-CN"/>
        </w:rPr>
        <w:t>0-14岁残疾儿童提供康复训练；5、为全区低保精神残疾人提供服药补贴（1050人）；6、为贫困精神残疾人提供住院补贴（110人）；7、举办第六届阳光家园文化周（100%）；8、残疾人技能培训（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开展残疾人职业技能培训160人次</w:t>
      </w:r>
      <w:r>
        <w:rPr>
          <w:rFonts w:hint="eastAsia" w:ascii="仿宋_GB2312" w:eastAsia="仿宋_GB2312"/>
          <w:sz w:val="32"/>
          <w:lang w:val="en-US" w:eastAsia="zh-CN"/>
        </w:rPr>
        <w:t>）；9、新增残疾人就业（创业）100人；10、信访维权（残疾人法律援助案件受理率100%；上级领导交办信访件办结回告率100%）；11、优化营商环境工作达标。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1.产出目标(包括:产出数量和质量指标)</w:t>
      </w:r>
    </w:p>
    <w:p>
      <w:pPr>
        <w:ind w:firstLine="482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完成2019创建全国残疾预防综合试验区工作任务。</w:t>
      </w:r>
      <w:r>
        <w:rPr>
          <w:rFonts w:hint="eastAsia" w:ascii="仿宋" w:hAnsi="仿宋" w:eastAsia="仿宋"/>
          <w:sz w:val="32"/>
          <w:szCs w:val="32"/>
        </w:rPr>
        <w:t>开展3场大型残疾预防知识宣传活动，100场“残疾预防知识进社区”巡展活动。实施残疾预防重点干预项目，</w:t>
      </w:r>
      <w:r>
        <w:rPr>
          <w:rFonts w:hint="eastAsia" w:ascii="仿宋" w:hAnsi="仿宋" w:eastAsia="仿宋" w:cs="仿宋"/>
          <w:sz w:val="32"/>
          <w:szCs w:val="32"/>
        </w:rPr>
        <w:t>完成产前筛查 7247例，诊断263例；</w:t>
      </w:r>
      <w:r>
        <w:rPr>
          <w:rFonts w:hint="eastAsia" w:ascii="仿宋" w:hAnsi="仿宋" w:eastAsia="仿宋"/>
          <w:sz w:val="32"/>
          <w:szCs w:val="32"/>
        </w:rPr>
        <w:t>儿童残疾筛查3168例，诊断69例；残疾评定完成665人，建立残疾报告制度，报告例数24例。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完成启动残联改革任务。</w:t>
      </w:r>
      <w:r>
        <w:rPr>
          <w:rFonts w:hint="eastAsia" w:ascii="仿宋" w:hAnsi="仿宋" w:eastAsia="仿宋"/>
          <w:sz w:val="32"/>
          <w:szCs w:val="32"/>
        </w:rPr>
        <w:t>积极创建省级基层残联组织改革试点工作，通过“专兼挂”、“免申不用办”、政府购买社会服务、党建引领等措施打造亮点工作和特色品牌，为全市、全省、全国的基层残联组织改革工作提供可借鉴、可推广的经验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完成了残疾人励志教育基地建设任务。</w:t>
      </w:r>
      <w:r>
        <w:rPr>
          <w:rFonts w:hint="eastAsia" w:ascii="仿宋" w:hAnsi="仿宋" w:eastAsia="仿宋"/>
          <w:sz w:val="32"/>
          <w:szCs w:val="32"/>
        </w:rPr>
        <w:t>在区委、区政府的大力支持下，残疾人励志教育基地如期竣工并顺利投入使用，建筑面积200㎡，接待残疾人次350余次。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为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"/>
        </w:rPr>
        <w:t>283名</w:t>
      </w:r>
      <w:r>
        <w:rPr>
          <w:rFonts w:hint="eastAsia" w:ascii="仿宋_GB2312" w:eastAsia="仿宋_GB2312"/>
          <w:b/>
          <w:bCs/>
          <w:sz w:val="32"/>
          <w:lang w:val="en-US" w:eastAsia="zh-CN"/>
        </w:rPr>
        <w:t>0-14岁残疾儿童提供康复训练。</w:t>
      </w:r>
      <w:r>
        <w:rPr>
          <w:rFonts w:hint="eastAsia" w:ascii="仿宋" w:hAnsi="仿宋" w:eastAsia="仿宋"/>
          <w:sz w:val="32"/>
          <w:szCs w:val="32"/>
        </w:rPr>
        <w:t>完成指标值的108.2%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为全区</w:t>
      </w:r>
      <w:r>
        <w:rPr>
          <w:rFonts w:hint="eastAsia" w:ascii="仿宋" w:hAnsi="仿宋" w:eastAsia="仿宋"/>
          <w:b/>
          <w:bCs/>
          <w:sz w:val="32"/>
          <w:szCs w:val="32"/>
        </w:rPr>
        <w:t>1058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名</w:t>
      </w:r>
      <w:r>
        <w:rPr>
          <w:rFonts w:hint="eastAsia" w:ascii="仿宋_GB2312" w:eastAsia="仿宋_GB2312"/>
          <w:b/>
          <w:bCs/>
          <w:sz w:val="32"/>
          <w:lang w:val="en-US" w:eastAsia="zh-CN"/>
        </w:rPr>
        <w:t>低保精神残疾人提供服药补贴。</w:t>
      </w:r>
      <w:r>
        <w:rPr>
          <w:rFonts w:hint="eastAsia" w:ascii="仿宋" w:hAnsi="仿宋" w:eastAsia="仿宋"/>
          <w:sz w:val="32"/>
          <w:szCs w:val="32"/>
          <w:lang w:eastAsia="zh-CN"/>
        </w:rPr>
        <w:t>超额完成任务。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为110名贫困精神残疾人提供住院补贴。</w:t>
      </w:r>
      <w:r>
        <w:rPr>
          <w:rFonts w:hint="eastAsia" w:ascii="仿宋" w:hAnsi="仿宋" w:eastAsia="仿宋"/>
          <w:sz w:val="32"/>
          <w:szCs w:val="32"/>
        </w:rPr>
        <w:t>完成指标值的10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成功举办第六届阳光家园文化周。</w:t>
      </w:r>
      <w:r>
        <w:rPr>
          <w:rFonts w:hint="eastAsia" w:ascii="仿宋" w:hAnsi="仿宋" w:eastAsia="仿宋"/>
          <w:sz w:val="32"/>
          <w:szCs w:val="32"/>
        </w:rPr>
        <w:t>在12月3日“国际残疾人日”活动期间举办第六届阳光文化周活动。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残疾人技能培训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开展残疾人职业培训202人次，完成指标值126.2%。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sz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新增残疾人就业（创业）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全年新增残疾人就业创业140人，完成指标值140%；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eastAsia="zh-CN"/>
        </w:rPr>
        <w:t>信访维权。</w:t>
      </w:r>
      <w:r>
        <w:rPr>
          <w:rFonts w:hint="eastAsia" w:ascii="仿宋_GB2312" w:eastAsia="仿宋_GB2312"/>
          <w:b w:val="0"/>
          <w:bCs w:val="0"/>
          <w:sz w:val="32"/>
          <w:lang w:eastAsia="zh-CN"/>
        </w:rPr>
        <w:t>全年</w:t>
      </w:r>
      <w:r>
        <w:rPr>
          <w:rFonts w:hint="eastAsia" w:ascii="仿宋" w:hAnsi="仿宋" w:eastAsia="仿宋"/>
          <w:sz w:val="32"/>
          <w:szCs w:val="32"/>
        </w:rPr>
        <w:t>共接待残疾人来信来访598人次，上级领导交办信访件62件，办结回告率100%。为59人次残疾人提供法律咨询服务，办理残疾人法律援助案件16件，残疾人法律援助受理率100%。妥善处置4批次8人次残疾人拟进京赴省上访事件，确保了残疾人群体总体稳定。</w:t>
      </w:r>
    </w:p>
    <w:p>
      <w:pPr>
        <w:widowControl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优化营商环境工作达标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 积极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走访残疾人企业，向企业推荐优秀残疾人，宣传残疾人创业、就业等相关的福利政策，开展残疾人就业保障金征收的宣讲工作，并开通网络咨询和电话咨询，方便企业缴纳残疾人就业保障金。完成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残疾人保证金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征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收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4206万元。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</w:rPr>
        <w:t>2.效果目标(包括:经济效益、社会效益、生态效益和可持续影响指标)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</w:p>
    <w:p>
      <w:pPr>
        <w:ind w:firstLine="643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深化全国残疾预防综合实验区创建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：实施残疾预防综合干预，有效控制残疾发生发展。</w:t>
      </w:r>
    </w:p>
    <w:p>
      <w:pPr>
        <w:ind w:firstLine="643" w:firstLineChars="200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启动残联改革任务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：一是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拓展残联组织代表面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二是拓宽了残疾工作者队伍来源面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三是提高残联组织服务效能</w:t>
      </w:r>
      <w:r>
        <w:rPr>
          <w:rFonts w:hint="eastAsia" w:ascii="仿宋" w:hAnsi="仿宋" w:eastAsia="仿宋" w:cs="仿宋"/>
          <w:b w:val="0"/>
          <w:bCs/>
          <w:sz w:val="32"/>
          <w:lang w:val="en-US"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区残联承担了湖北省基层残联组织改革试点工作为全市、全省的改革工作提供可借鉴、可推广的经验。</w:t>
      </w:r>
    </w:p>
    <w:p>
      <w:pPr>
        <w:ind w:firstLine="643" w:firstLineChars="200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残疾人励志教育基地建设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：为</w:t>
      </w:r>
      <w:r>
        <w:rPr>
          <w:rFonts w:hint="eastAsia" w:ascii="仿宋_GB2312" w:eastAsia="仿宋_GB2312"/>
          <w:b w:val="0"/>
          <w:bCs w:val="0"/>
          <w:sz w:val="32"/>
          <w:lang w:val="en-US" w:eastAsia="zh-CN"/>
        </w:rPr>
        <w:t>残疾人励志教育基地提供了场地，为残疾人励志教育提供了良好服务平台，发挥了积极的作用，鼓励更多残疾人成才。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为283名0-14岁残疾儿童提供康复训练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减轻了受提供训练残疾儿童家庭经济负担，</w:t>
      </w:r>
      <w:r>
        <w:rPr>
          <w:rFonts w:hint="eastAsia" w:ascii="仿宋" w:hAnsi="仿宋" w:eastAsia="仿宋"/>
          <w:sz w:val="32"/>
          <w:szCs w:val="32"/>
        </w:rPr>
        <w:t>能够对残疾儿童进行早期发现、诊断、干预，使其能够最大限度的重建生活、学习及社会交往能力，将为他们人生发展奠定重要的基础。残疾儿童提供康复训练补贴，投入少、效果好、影响大、社会效益显著，早期发现和早期干预，能为患儿最大限度地接近和达到正常同龄孩子的言语发育、肢体发育水平，减少儿童情感、心理和社会交往等能力的发育迟缓，能让他们更早的回归社会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为全区</w:t>
      </w:r>
      <w:r>
        <w:rPr>
          <w:rFonts w:hint="eastAsia" w:ascii="仿宋" w:hAnsi="仿宋" w:eastAsia="仿宋"/>
          <w:b/>
          <w:bCs/>
          <w:sz w:val="32"/>
          <w:szCs w:val="32"/>
        </w:rPr>
        <w:t>1058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名</w:t>
      </w:r>
      <w:r>
        <w:rPr>
          <w:rFonts w:hint="eastAsia" w:ascii="仿宋_GB2312" w:eastAsia="仿宋_GB2312"/>
          <w:b/>
          <w:bCs/>
          <w:sz w:val="32"/>
          <w:lang w:val="en-US" w:eastAsia="zh-CN"/>
        </w:rPr>
        <w:t>低保精神残疾人提供服药补贴和为110名贫困精神残疾人提供住院补贴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1082名符合条件的精神残疾人按月发放服药补贴和为111名贫困精神残疾人提供住院补贴，投入经费近200万元，让他们感到党和政府对他们的关爱和关怀，切实减轻了他们家庭的经济困难，减轻病情的痛苦，病情得到有效控制，避免重度精神病残疾人流入社会，造成对社会的危害，造成不良的后果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val="en-US" w:eastAsia="zh-CN"/>
        </w:rPr>
        <w:t>举办第六届阳光家园文化周</w:t>
      </w:r>
      <w:r>
        <w:rPr>
          <w:rFonts w:hint="eastAsia" w:ascii="仿宋_GB2312" w:eastAsia="仿宋_GB2312"/>
          <w:b/>
          <w:bCs/>
          <w:sz w:val="32"/>
        </w:rPr>
        <w:t>效果目标</w:t>
      </w:r>
      <w:r>
        <w:rPr>
          <w:rFonts w:hint="eastAsia" w:ascii="仿宋_GB2312" w:eastAsia="仿宋_GB2312"/>
          <w:sz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通过举办第六届“阳光家园”文化周活动，发挥残疾人的文化智慧，激发他们积极参加文艺活动，开展文艺汇演、配乐诗朗诵等内容丰富、形式多样的文化活动，极大地丰富了广大残疾人群众的精神生活。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残疾人技能培训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效果目标：</w:t>
      </w:r>
      <w:r>
        <w:rPr>
          <w:rFonts w:hint="eastAsia" w:ascii="仿宋" w:hAnsi="仿宋" w:eastAsia="仿宋"/>
          <w:sz w:val="32"/>
          <w:szCs w:val="32"/>
        </w:rPr>
        <w:t>开展残疾人职业培训202人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让更多的残疾人参加职业技能培训，掌握一定的技能，适应就业岗位，实现就业（创业），实现自我价值。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新增残疾人就业（创业）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效果目标：</w:t>
      </w:r>
      <w:r>
        <w:rPr>
          <w:rFonts w:hint="eastAsia" w:ascii="仿宋" w:hAnsi="仿宋" w:eastAsia="仿宋"/>
          <w:sz w:val="32"/>
          <w:szCs w:val="32"/>
        </w:rPr>
        <w:t>全年新增残疾人就业创业140人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通过残疾人就业创业，自强不息，靠自身劳动，自食其力，增加家庭收入，过上有尊严的生活，有更多的获得感和幸福感。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lang w:eastAsia="zh-CN"/>
        </w:rPr>
        <w:t>信访维权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效果目标：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通过做好残疾人信访维权工作，维护残疾人合法权益，化解矛盾，避免残疾人进京赴省到市非正常上访事件，确保残疾人群体总体稳定。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优化营商环境工作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效果目标：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t>多种渠道主动向辖区每一家安残单位宣传年审政策、流程，做好政策解答，结合具体问题为安残单位提供个性化服务。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优化办事流程，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开通网络咨询和电话咨询，方便企业缴纳残疾人就业保障金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，为企业提供快速便捷的办事通道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。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color w:val="FF0000"/>
          <w:sz w:val="32"/>
        </w:rPr>
      </w:pPr>
    </w:p>
    <w:p>
      <w:pPr>
        <w:adjustRightInd w:val="0"/>
        <w:snapToGrid w:val="0"/>
        <w:spacing w:line="580" w:lineRule="atLeast"/>
        <w:ind w:firstLine="640" w:firstLineChars="200"/>
        <w:rPr>
          <w:rFonts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</w:rPr>
        <w:t>三、自评结论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(一)自评结论（包括：自评得分；对部门整体支出管理及绩效的综合评价）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color w:val="FF0000"/>
          <w:sz w:val="32"/>
        </w:rPr>
      </w:pPr>
      <w:r>
        <w:rPr>
          <w:rFonts w:hint="eastAsia" w:ascii="仿宋_GB2312" w:eastAsia="仿宋_GB2312"/>
          <w:sz w:val="32"/>
        </w:rPr>
        <w:t>自评</w:t>
      </w:r>
      <w:r>
        <w:rPr>
          <w:rFonts w:hint="eastAsia" w:ascii="仿宋_GB2312" w:eastAsia="仿宋_GB2312"/>
          <w:sz w:val="32"/>
          <w:lang w:val="en-US" w:eastAsia="zh-CN"/>
        </w:rPr>
        <w:t>100分，</w:t>
      </w:r>
      <w:r>
        <w:rPr>
          <w:rFonts w:hint="eastAsia" w:ascii="仿宋_GB2312" w:eastAsia="仿宋_GB2312"/>
          <w:sz w:val="32"/>
        </w:rPr>
        <w:t>对部门整体支出管理及绩效的综合评价</w:t>
      </w:r>
      <w:r>
        <w:rPr>
          <w:rFonts w:hint="eastAsia" w:ascii="仿宋_GB2312" w:eastAsia="仿宋_GB2312"/>
          <w:sz w:val="32"/>
          <w:lang w:eastAsia="zh-CN"/>
        </w:rPr>
        <w:t>：优</w:t>
      </w:r>
    </w:p>
    <w:p>
      <w:pPr>
        <w:numPr>
          <w:ilvl w:val="0"/>
          <w:numId w:val="3"/>
        </w:num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主要经验，存在的问题和改进措施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lang w:eastAsia="zh-CN"/>
        </w:rPr>
        <w:t>主要经验：领导重视，强化责任担当，明确责任，传导压力，以及抓一级，形成合力，部门之间密切配合，办公室加强工作督办，定期调度，确保绩效目标任务完成，确保经费保障到位，圆满完全年各项绩效目标任务，为全区残疾人事业做出更大的贡献。</w:t>
      </w:r>
    </w:p>
    <w:p>
      <w:pPr>
        <w:adjustRightInd w:val="0"/>
        <w:snapToGrid w:val="0"/>
        <w:spacing w:line="580" w:lineRule="atLeast"/>
        <w:ind w:firstLine="640" w:firstLineChars="200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</w:rPr>
        <w:t>存在的问题</w:t>
      </w:r>
      <w:r>
        <w:rPr>
          <w:rFonts w:hint="eastAsia" w:ascii="仿宋_GB2312" w:eastAsia="仿宋_GB2312"/>
          <w:sz w:val="32"/>
          <w:lang w:eastAsia="zh-CN"/>
        </w:rPr>
        <w:t>：无</w:t>
      </w:r>
    </w:p>
    <w:p>
      <w:pPr>
        <w:numPr>
          <w:numId w:val="0"/>
        </w:numPr>
        <w:adjustRightInd w:val="0"/>
        <w:snapToGrid w:val="0"/>
        <w:spacing w:line="580" w:lineRule="atLeast"/>
        <w:rPr>
          <w:rFonts w:hint="eastAsia" w:ascii="仿宋_GB2312" w:eastAsia="仿宋_GB2312"/>
          <w:color w:val="FF0000"/>
          <w:sz w:val="32"/>
          <w:lang w:val="en-US" w:eastAsia="zh-CN"/>
        </w:rPr>
      </w:pPr>
    </w:p>
    <w:p>
      <w:pPr>
        <w:numPr>
          <w:numId w:val="0"/>
        </w:numPr>
        <w:adjustRightInd w:val="0"/>
        <w:snapToGrid w:val="0"/>
        <w:spacing w:line="580" w:lineRule="atLeast"/>
        <w:rPr>
          <w:rFonts w:hint="eastAsia" w:ascii="仿宋_GB2312" w:eastAsia="仿宋_GB2312"/>
          <w:color w:val="FF0000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4C048"/>
    <w:multiLevelType w:val="singleLevel"/>
    <w:tmpl w:val="5F44C048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F44C66C"/>
    <w:multiLevelType w:val="singleLevel"/>
    <w:tmpl w:val="5F44C66C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F4C48DF"/>
    <w:multiLevelType w:val="singleLevel"/>
    <w:tmpl w:val="5F4C48DF"/>
    <w:lvl w:ilvl="0" w:tentative="0">
      <w:start w:val="2"/>
      <w:numFmt w:val="chineseCounting"/>
      <w:suff w:val="nothing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94"/>
    <w:rsid w:val="001F06AD"/>
    <w:rsid w:val="002C0794"/>
    <w:rsid w:val="004E4365"/>
    <w:rsid w:val="006E7CF6"/>
    <w:rsid w:val="00726477"/>
    <w:rsid w:val="00861660"/>
    <w:rsid w:val="00967237"/>
    <w:rsid w:val="00A510E9"/>
    <w:rsid w:val="00AE1464"/>
    <w:rsid w:val="00C7227A"/>
    <w:rsid w:val="00D8689A"/>
    <w:rsid w:val="00DE60DB"/>
    <w:rsid w:val="00EA77DE"/>
    <w:rsid w:val="00FA643B"/>
    <w:rsid w:val="2C24134E"/>
    <w:rsid w:val="2D4463EF"/>
    <w:rsid w:val="46962715"/>
    <w:rsid w:val="76B02EB7"/>
    <w:rsid w:val="7A057583"/>
    <w:rsid w:val="7F02140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2</Pages>
  <Words>68</Words>
  <Characters>390</Characters>
  <Lines>3</Lines>
  <Paragraphs>1</Paragraphs>
  <ScaleCrop>false</ScaleCrop>
  <LinksUpToDate>false</LinksUpToDate>
  <CharactersWithSpaces>457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2019-05-05T02:52:00Z</dcterms:created>
  <dc:creator>QKPC</dc:creator>
  <cp:lastModifiedBy>Administrator</cp:lastModifiedBy>
  <dcterms:modified xsi:type="dcterms:W3CDTF">2020-08-31T00:46:00Z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