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eastAsia="黑体"/>
          <w:b w:val="0"/>
          <w:w w:val="90"/>
        </w:rPr>
      </w:pPr>
    </w:p>
    <w:p>
      <w:pPr>
        <w:pStyle w:val="2"/>
        <w:jc w:val="center"/>
        <w:rPr>
          <w:rFonts w:ascii="黑体" w:eastAsia="黑体"/>
          <w:b w:val="0"/>
          <w:w w:val="90"/>
        </w:rPr>
      </w:pPr>
      <w:r>
        <w:rPr>
          <w:rFonts w:hint="eastAsia" w:ascii="黑体" w:eastAsia="黑体"/>
          <w:b w:val="0"/>
          <w:w w:val="90"/>
        </w:rPr>
        <w:t>区直预算项目绩效自评报告</w:t>
      </w:r>
      <w:r>
        <w:rPr>
          <w:rFonts w:ascii="黑体" w:eastAsia="黑体"/>
          <w:b w:val="0"/>
          <w:w w:val="90"/>
        </w:rPr>
        <w:br w:type="textWrapping"/>
      </w:r>
    </w:p>
    <w:p>
      <w:pPr>
        <w:snapToGrid w:val="0"/>
        <w:spacing w:line="600" w:lineRule="atLeast"/>
        <w:ind w:right="24"/>
        <w:jc w:val="left"/>
        <w:rPr>
          <w:rFonts w:ascii="仿宋_GB2312" w:eastAsia="仿宋_GB2312"/>
          <w:sz w:val="32"/>
        </w:rPr>
      </w:pPr>
    </w:p>
    <w:p>
      <w:pPr>
        <w:snapToGrid w:val="0"/>
        <w:spacing w:line="600" w:lineRule="atLeast"/>
        <w:ind w:right="24"/>
        <w:jc w:val="left"/>
        <w:rPr>
          <w:rFonts w:ascii="仿宋_GB2312" w:eastAsia="仿宋_GB2312"/>
          <w:sz w:val="32"/>
        </w:rPr>
      </w:pPr>
    </w:p>
    <w:p>
      <w:pPr>
        <w:rPr>
          <w:rFonts w:ascii="仿宋_GB2312"/>
          <w:b/>
          <w:szCs w:val="32"/>
        </w:rPr>
      </w:pPr>
    </w:p>
    <w:p>
      <w:pPr>
        <w:rPr>
          <w:rFonts w:ascii="仿宋_GB2312"/>
          <w:b/>
          <w:szCs w:val="32"/>
        </w:rPr>
      </w:pPr>
    </w:p>
    <w:p>
      <w:pPr>
        <w:rPr>
          <w:rFonts w:ascii="仿宋_GB2312"/>
          <w:b/>
          <w:sz w:val="36"/>
          <w:szCs w:val="36"/>
        </w:rPr>
      </w:pPr>
    </w:p>
    <w:p>
      <w:pPr>
        <w:rPr>
          <w:rFonts w:ascii="黑体" w:eastAsia="黑体"/>
          <w:b/>
          <w:sz w:val="36"/>
          <w:szCs w:val="36"/>
          <w:u w:val="single"/>
        </w:rPr>
      </w:pPr>
      <w:r>
        <w:rPr>
          <w:rFonts w:hint="eastAsia" w:ascii="仿宋_GB2312"/>
          <w:b/>
          <w:sz w:val="36"/>
          <w:szCs w:val="36"/>
        </w:rPr>
        <w:t xml:space="preserve">     </w:t>
      </w:r>
      <w:r>
        <w:rPr>
          <w:rFonts w:hint="eastAsia" w:ascii="黑体" w:eastAsia="黑体"/>
          <w:bCs/>
          <w:sz w:val="36"/>
          <w:szCs w:val="36"/>
        </w:rPr>
        <w:t xml:space="preserve">项目名称：  </w:t>
      </w:r>
      <w:r>
        <w:rPr>
          <w:rFonts w:hint="eastAsia" w:ascii="黑体" w:eastAsia="黑体"/>
          <w:bCs/>
          <w:sz w:val="36"/>
          <w:szCs w:val="36"/>
          <w:u w:val="single"/>
        </w:rPr>
        <w:t xml:space="preserve">    </w:t>
      </w:r>
      <w:r>
        <w:rPr>
          <w:rFonts w:hint="eastAsia" w:ascii="黑体" w:eastAsia="黑体"/>
          <w:bCs/>
          <w:sz w:val="36"/>
          <w:szCs w:val="36"/>
          <w:u w:val="single"/>
          <w:lang w:eastAsia="zh-CN"/>
        </w:rPr>
        <w:t>残疾人管理工作经费</w:t>
      </w:r>
      <w:r>
        <w:rPr>
          <w:rFonts w:hint="eastAsia" w:ascii="黑体" w:eastAsia="黑体"/>
          <w:bCs/>
          <w:sz w:val="36"/>
          <w:szCs w:val="36"/>
          <w:u w:val="single"/>
        </w:rPr>
        <w:t xml:space="preserve">                    </w:t>
      </w:r>
    </w:p>
    <w:p>
      <w:pPr>
        <w:ind w:firstLine="882" w:firstLineChars="245"/>
        <w:rPr>
          <w:rFonts w:ascii="黑体" w:eastAsia="黑体"/>
          <w:b/>
          <w:sz w:val="36"/>
          <w:szCs w:val="36"/>
          <w:u w:val="single"/>
        </w:rPr>
      </w:pPr>
      <w:r>
        <w:rPr>
          <w:rFonts w:hint="eastAsia" w:ascii="黑体" w:eastAsia="黑体"/>
          <w:bCs/>
          <w:sz w:val="36"/>
          <w:szCs w:val="36"/>
        </w:rPr>
        <w:t xml:space="preserve">项目单位：  </w:t>
      </w:r>
      <w:r>
        <w:rPr>
          <w:rFonts w:hint="eastAsia" w:ascii="黑体" w:eastAsia="黑体"/>
          <w:bCs/>
          <w:sz w:val="36"/>
          <w:szCs w:val="36"/>
          <w:u w:val="single"/>
        </w:rPr>
        <w:t xml:space="preserve">      </w:t>
      </w:r>
      <w:r>
        <w:rPr>
          <w:rFonts w:hint="eastAsia" w:ascii="黑体" w:eastAsia="黑体"/>
          <w:bCs/>
          <w:sz w:val="36"/>
          <w:szCs w:val="36"/>
          <w:u w:val="single"/>
          <w:lang w:eastAsia="zh-CN"/>
        </w:rPr>
        <w:t>残联</w:t>
      </w:r>
      <w:r>
        <w:rPr>
          <w:rFonts w:hint="eastAsia" w:ascii="黑体" w:eastAsia="黑体"/>
          <w:bCs/>
          <w:sz w:val="36"/>
          <w:szCs w:val="36"/>
          <w:u w:val="single"/>
        </w:rPr>
        <w:t xml:space="preserve">                  </w:t>
      </w:r>
    </w:p>
    <w:p>
      <w:pPr>
        <w:ind w:firstLine="900" w:firstLineChars="250"/>
        <w:rPr>
          <w:rFonts w:ascii="黑体" w:eastAsia="黑体"/>
          <w:bCs/>
          <w:sz w:val="36"/>
          <w:szCs w:val="36"/>
          <w:u w:val="single"/>
        </w:rPr>
      </w:pPr>
      <w:r>
        <w:rPr>
          <w:rFonts w:hint="eastAsia" w:ascii="黑体" w:eastAsia="黑体"/>
          <w:bCs/>
          <w:sz w:val="36"/>
          <w:szCs w:val="36"/>
        </w:rPr>
        <w:t xml:space="preserve">主管部门：  </w:t>
      </w:r>
      <w:r>
        <w:rPr>
          <w:rFonts w:hint="eastAsia" w:ascii="黑体" w:eastAsia="黑体"/>
          <w:bCs/>
          <w:sz w:val="36"/>
          <w:szCs w:val="36"/>
          <w:u w:val="single"/>
        </w:rPr>
        <w:t xml:space="preserve">      (盖章)            </w:t>
      </w:r>
    </w:p>
    <w:p>
      <w:pPr>
        <w:jc w:val="center"/>
        <w:rPr>
          <w:rFonts w:ascii="黑体" w:eastAsia="黑体"/>
          <w:bCs/>
          <w:sz w:val="36"/>
          <w:szCs w:val="36"/>
        </w:rPr>
      </w:pPr>
    </w:p>
    <w:p>
      <w:pPr>
        <w:jc w:val="center"/>
        <w:rPr>
          <w:rFonts w:ascii="仿宋_GB2312"/>
          <w:bCs/>
          <w:sz w:val="36"/>
          <w:szCs w:val="36"/>
        </w:rPr>
      </w:pPr>
    </w:p>
    <w:p>
      <w:pPr>
        <w:jc w:val="center"/>
        <w:rPr>
          <w:rFonts w:ascii="仿宋_GB2312"/>
          <w:bCs/>
          <w:sz w:val="36"/>
          <w:szCs w:val="36"/>
        </w:rPr>
      </w:pPr>
    </w:p>
    <w:p>
      <w:pPr>
        <w:jc w:val="center"/>
        <w:rPr>
          <w:rFonts w:ascii="仿宋_GB2312"/>
          <w:bCs/>
          <w:sz w:val="36"/>
          <w:szCs w:val="36"/>
        </w:rPr>
      </w:pPr>
    </w:p>
    <w:p>
      <w:pPr>
        <w:jc w:val="center"/>
        <w:rPr>
          <w:rFonts w:ascii="仿宋_GB2312"/>
          <w:bCs/>
          <w:sz w:val="36"/>
          <w:szCs w:val="36"/>
        </w:rPr>
      </w:pPr>
    </w:p>
    <w:p>
      <w:pPr>
        <w:jc w:val="center"/>
        <w:rPr>
          <w:rFonts w:ascii="仿宋_GB2312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 xml:space="preserve">  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2019</w:t>
      </w:r>
      <w:r>
        <w:rPr>
          <w:rFonts w:hint="eastAsia" w:ascii="黑体" w:eastAsia="黑体"/>
          <w:bCs/>
          <w:sz w:val="32"/>
          <w:szCs w:val="32"/>
        </w:rPr>
        <w:t xml:space="preserve">年  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7</w:t>
      </w:r>
      <w:r>
        <w:rPr>
          <w:rFonts w:hint="eastAsia" w:ascii="黑体" w:eastAsia="黑体"/>
          <w:bCs/>
          <w:sz w:val="32"/>
          <w:szCs w:val="32"/>
        </w:rPr>
        <w:t xml:space="preserve">   月</w:t>
      </w:r>
    </w:p>
    <w:p>
      <w:pPr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ascii="仿宋_GB2312" w:eastAsia="仿宋_GB2312"/>
          <w:sz w:val="32"/>
        </w:rPr>
        <w:br w:type="page"/>
      </w:r>
      <w:r>
        <w:rPr>
          <w:rFonts w:hint="eastAsia" w:ascii="方正小标宋简体" w:hAnsi="Arial" w:eastAsia="方正小标宋简体" w:cs="Arial"/>
          <w:sz w:val="44"/>
          <w:szCs w:val="44"/>
        </w:rPr>
        <w:t>2018年度</w:t>
      </w:r>
      <w:r>
        <w:rPr>
          <w:rFonts w:hint="eastAsia" w:ascii="方正小标宋简体" w:hAnsi="Arial" w:eastAsia="方正小标宋简体" w:cs="Arial"/>
          <w:sz w:val="44"/>
          <w:szCs w:val="44"/>
          <w:lang w:eastAsia="zh-CN"/>
        </w:rPr>
        <w:t>残疾人管理工作经费</w:t>
      </w:r>
      <w:r>
        <w:rPr>
          <w:rFonts w:hint="eastAsia" w:ascii="方正小标宋简体" w:hAnsi="Arial" w:eastAsia="方正小标宋简体" w:cs="Arial"/>
          <w:sz w:val="44"/>
          <w:szCs w:val="44"/>
        </w:rPr>
        <w:t>项目绩效自评报告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一、项目基本情况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(一)项目概况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包含残疾人五大协会、残疾人信息动态更新、残疾人维稳工作经费、残疾预防综合试验区、残疾人管理工作及外聘人员劳务费。</w:t>
      </w: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项目预算绩效目标</w:t>
      </w:r>
    </w:p>
    <w:p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1.产出目标</w:t>
      </w:r>
      <w:r>
        <w:rPr>
          <w:rFonts w:hint="eastAsia" w:ascii="仿宋_GB2312" w:eastAsia="仿宋_GB2312"/>
          <w:sz w:val="32"/>
          <w:lang w:eastAsia="zh-CN"/>
        </w:rPr>
        <w:t>：设成本指标</w:t>
      </w:r>
      <w:r>
        <w:rPr>
          <w:rFonts w:hint="eastAsia" w:ascii="仿宋_GB2312" w:eastAsia="仿宋_GB2312"/>
          <w:sz w:val="32"/>
          <w:lang w:val="en-US" w:eastAsia="zh-CN"/>
        </w:rPr>
        <w:t>-投入经费、数量指标-残疾人协会活动次数。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2.效果目标</w:t>
      </w:r>
      <w:r>
        <w:rPr>
          <w:rFonts w:hint="eastAsia" w:ascii="仿宋_GB2312" w:eastAsia="仿宋_GB2312"/>
          <w:sz w:val="32"/>
          <w:lang w:eastAsia="zh-CN"/>
        </w:rPr>
        <w:t>：设社会效益指标</w:t>
      </w:r>
      <w:r>
        <w:rPr>
          <w:rFonts w:hint="eastAsia" w:ascii="仿宋_GB2312" w:eastAsia="仿宋_GB2312"/>
          <w:sz w:val="32"/>
          <w:lang w:val="en-US" w:eastAsia="zh-CN"/>
        </w:rPr>
        <w:t>-</w:t>
      </w:r>
      <w:r>
        <w:rPr>
          <w:rFonts w:hint="eastAsia" w:ascii="仿宋_GB2312" w:eastAsia="仿宋_GB2312"/>
          <w:sz w:val="32"/>
          <w:lang w:eastAsia="zh-CN"/>
        </w:rPr>
        <w:t>提高残疾人幸福指数。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 xml:space="preserve">二、项目绩效分析 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(一)项目管理情况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1.业务管理情况 </w:t>
      </w:r>
      <w:r>
        <w:rPr>
          <w:rFonts w:hint="eastAsia" w:ascii="仿宋_GB2312" w:eastAsia="仿宋_GB2312"/>
          <w:sz w:val="32"/>
          <w:lang w:eastAsia="zh-CN"/>
        </w:rPr>
        <w:t>：各部门各负其责，平时基础资料齐备，严把审核关，依规依法办理残疾人事务。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2.财务管理情况</w:t>
      </w:r>
      <w:r>
        <w:rPr>
          <w:rFonts w:hint="eastAsia" w:ascii="仿宋_GB2312" w:eastAsia="仿宋_GB2312"/>
          <w:sz w:val="32"/>
          <w:lang w:eastAsia="zh-CN"/>
        </w:rPr>
        <w:t>：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预算安排</w:t>
      </w:r>
      <w:r>
        <w:rPr>
          <w:rFonts w:hint="eastAsia" w:ascii="仿宋_GB2312" w:eastAsia="仿宋_GB2312"/>
          <w:sz w:val="32"/>
          <w:lang w:val="en-US" w:eastAsia="zh-CN"/>
        </w:rPr>
        <w:t>47万元，实际资金到位47万元，实际执行47万元。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(二)项目预算绩效目标的完成情况 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1.产出目标</w:t>
      </w:r>
      <w:r>
        <w:rPr>
          <w:rFonts w:hint="eastAsia" w:ascii="仿宋_GB2312" w:eastAsia="仿宋_GB2312"/>
          <w:sz w:val="32"/>
          <w:lang w:eastAsia="zh-CN"/>
        </w:rPr>
        <w:t>：已完成。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成功召开区残疾人联合会第七代代表大会，规划好未来五年全区残疾人事业发展蓝图。指导专门协会开展特色活动，增强对残疾人群众的凝聚覆盖，提升协会组织治理能力。试点在肢残人协会建立党组织，成立残疾人党员先锋工作队，发挥好残疾人主体作用。持续推进“三办”改革，切实开展“双评议”、基层站所网络平台录入等工作，提升为残疾人服务的效率和质量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2.效果目标</w:t>
      </w:r>
      <w:r>
        <w:rPr>
          <w:rFonts w:hint="eastAsia" w:ascii="仿宋_GB2312" w:eastAsia="仿宋_GB2312"/>
          <w:sz w:val="32"/>
          <w:lang w:eastAsia="zh-CN"/>
        </w:rPr>
        <w:t>：已完成。</w:t>
      </w:r>
      <w:r>
        <w:rPr>
          <w:rFonts w:hint="eastAsia" w:ascii="仿宋" w:hAnsi="仿宋" w:eastAsia="仿宋"/>
          <w:sz w:val="32"/>
          <w:szCs w:val="32"/>
        </w:rPr>
        <w:t>我们认真贯彻落实党的十九大</w:t>
      </w:r>
      <w:r>
        <w:rPr>
          <w:rFonts w:hint="eastAsia" w:ascii="仿宋" w:hAnsi="仿宋" w:eastAsia="仿宋"/>
          <w:sz w:val="32"/>
          <w:szCs w:val="32"/>
          <w:lang w:eastAsia="zh-CN"/>
        </w:rPr>
        <w:t>和习近平总书记视察湖北重要讲话</w:t>
      </w:r>
      <w:r>
        <w:rPr>
          <w:rFonts w:hint="eastAsia" w:ascii="仿宋" w:hAnsi="仿宋" w:eastAsia="仿宋"/>
          <w:sz w:val="32"/>
          <w:szCs w:val="32"/>
        </w:rPr>
        <w:t>精神，以</w:t>
      </w:r>
      <w:r>
        <w:rPr>
          <w:rFonts w:hint="eastAsia" w:ascii="仿宋" w:hAnsi="仿宋" w:eastAsia="仿宋"/>
          <w:sz w:val="32"/>
          <w:szCs w:val="32"/>
          <w:lang w:eastAsia="zh-CN"/>
        </w:rPr>
        <w:t>残联组织深化改革为契机，着力推动残疾人事业实现高质量发展，进一步</w:t>
      </w:r>
      <w:r>
        <w:rPr>
          <w:rFonts w:hint="eastAsia" w:ascii="仿宋" w:hAnsi="仿宋" w:eastAsia="仿宋"/>
          <w:sz w:val="32"/>
          <w:szCs w:val="32"/>
        </w:rPr>
        <w:t>提高残联组织覆盖率、辨识度、与残疾人群众的粘合度以及残疾人群众的满意度。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三、自评结论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(一)自评结论</w:t>
      </w:r>
      <w:r>
        <w:rPr>
          <w:rFonts w:hint="eastAsia" w:ascii="仿宋_GB2312" w:eastAsia="仿宋_GB2312"/>
          <w:sz w:val="32"/>
          <w:lang w:eastAsia="zh-CN"/>
        </w:rPr>
        <w:t>：</w:t>
      </w:r>
      <w:r>
        <w:rPr>
          <w:rFonts w:hint="eastAsia" w:ascii="仿宋_GB2312" w:eastAsia="仿宋_GB2312"/>
          <w:sz w:val="32"/>
          <w:lang w:val="en-US" w:eastAsia="zh-CN"/>
        </w:rPr>
        <w:t>90分</w:t>
      </w:r>
    </w:p>
    <w:p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(二)主要经验，存在的问题和改进措施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充分发挥残疾人主体作用，加大残疾人人才培养力度，培育先进典型。创新协会组织联系和服务残疾人的方式。加大残疾人社会组织培育力度。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eastAsia="仿宋_GB2312"/>
          <w:sz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加强残联组织党的建设和自身建设，提高履职能力。为残疾人事业更上新台阶。</w:t>
      </w:r>
    </w:p>
    <w:p>
      <w:pPr>
        <w:spacing w:line="600" w:lineRule="exact"/>
        <w:ind w:firstLine="640" w:firstLineChars="200"/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 w:cs="宋体"/>
          <w:kern w:val="0"/>
          <w:sz w:val="32"/>
          <w:szCs w:val="32"/>
        </w:rPr>
        <w:t>2018年度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残疾人管理</w:t>
      </w:r>
      <w:r>
        <w:rPr>
          <w:rFonts w:hint="eastAsia" w:ascii="黑体" w:hAnsi="黑体" w:eastAsia="黑体" w:cs="宋体"/>
          <w:kern w:val="0"/>
          <w:sz w:val="32"/>
          <w:szCs w:val="32"/>
        </w:rPr>
        <w:t>项目绩效自</w:t>
      </w:r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评表（附后）</w:t>
      </w:r>
    </w:p>
    <w:p>
      <w:pPr>
        <w:widowControl/>
        <w:jc w:val="center"/>
        <w:rPr>
          <w:rFonts w:ascii="方正小标宋_GBK" w:hAnsi="黑体" w:eastAsia="方正小标宋_GBK" w:cs="宋体"/>
          <w:kern w:val="0"/>
          <w:sz w:val="40"/>
          <w:szCs w:val="36"/>
        </w:rPr>
      </w:pPr>
      <w:r>
        <w:rPr>
          <w:rFonts w:hint="eastAsia" w:ascii="方正小标宋_GBK" w:hAnsi="黑体" w:eastAsia="方正小标宋_GBK" w:cs="宋体"/>
          <w:kern w:val="0"/>
          <w:sz w:val="40"/>
          <w:szCs w:val="36"/>
        </w:rPr>
        <w:t>2018年度</w:t>
      </w:r>
      <w:r>
        <w:rPr>
          <w:rFonts w:hint="eastAsia" w:ascii="方正小标宋_GBK" w:hAnsi="黑体" w:eastAsia="方正小标宋_GBK" w:cs="宋体"/>
          <w:kern w:val="0"/>
          <w:sz w:val="40"/>
          <w:szCs w:val="36"/>
          <w:lang w:eastAsia="zh-CN"/>
        </w:rPr>
        <w:t>残疾人管理工作</w:t>
      </w:r>
      <w:r>
        <w:rPr>
          <w:rFonts w:hint="eastAsia" w:ascii="方正小标宋_GBK" w:hAnsi="黑体" w:eastAsia="方正小标宋_GBK" w:cs="宋体"/>
          <w:kern w:val="0"/>
          <w:sz w:val="40"/>
          <w:szCs w:val="36"/>
        </w:rPr>
        <w:t>项目绩效自评表</w:t>
      </w:r>
    </w:p>
    <w:p>
      <w:pPr>
        <w:widowControl/>
        <w:jc w:val="left"/>
        <w:rPr>
          <w:rFonts w:ascii="楷体_GB2312" w:hAnsi="黑体" w:eastAsia="楷体_GB2312" w:cs="宋体"/>
          <w:kern w:val="0"/>
          <w:sz w:val="48"/>
          <w:szCs w:val="36"/>
        </w:rPr>
      </w:pPr>
      <w:r>
        <w:rPr>
          <w:rFonts w:hint="eastAsia" w:ascii="楷体_GB2312" w:hAnsi="宋体" w:eastAsia="楷体_GB2312" w:cs="宋体"/>
          <w:kern w:val="0"/>
          <w:sz w:val="24"/>
          <w:szCs w:val="20"/>
        </w:rPr>
        <w:t>填报日期：</w:t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hint="eastAsia" w:ascii="楷体_GB2312" w:hAnsi="宋体" w:eastAsia="楷体_GB2312" w:cs="宋体"/>
          <w:kern w:val="0"/>
          <w:sz w:val="24"/>
          <w:szCs w:val="20"/>
          <w:lang w:val="en-US" w:eastAsia="zh-CN"/>
        </w:rPr>
        <w:t>2019.7.30</w:t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ascii="楷体_GB2312" w:hAnsi="宋体" w:eastAsia="楷体_GB2312" w:cs="宋体"/>
          <w:kern w:val="0"/>
          <w:sz w:val="24"/>
          <w:szCs w:val="20"/>
        </w:rPr>
        <w:tab/>
      </w:r>
      <w:r>
        <w:rPr>
          <w:rFonts w:hint="eastAsia" w:ascii="楷体_GB2312" w:hAnsi="宋体" w:eastAsia="楷体_GB2312" w:cs="宋体"/>
          <w:kern w:val="0"/>
          <w:sz w:val="24"/>
          <w:szCs w:val="20"/>
        </w:rPr>
        <w:t>总分：</w:t>
      </w:r>
      <w:r>
        <w:rPr>
          <w:rFonts w:hint="eastAsia" w:ascii="楷体_GB2312" w:hAnsi="宋体" w:eastAsia="楷体_GB2312" w:cs="宋体"/>
          <w:kern w:val="0"/>
          <w:sz w:val="24"/>
          <w:szCs w:val="20"/>
          <w:lang w:val="en-US" w:eastAsia="zh-CN"/>
        </w:rPr>
        <w:t>90</w:t>
      </w:r>
    </w:p>
    <w:tbl>
      <w:tblPr>
        <w:tblStyle w:val="6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122"/>
        <w:gridCol w:w="1319"/>
        <w:gridCol w:w="923"/>
        <w:gridCol w:w="394"/>
        <w:gridCol w:w="1465"/>
        <w:gridCol w:w="660"/>
        <w:gridCol w:w="658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项目名称</w:t>
            </w:r>
          </w:p>
        </w:tc>
        <w:tc>
          <w:tcPr>
            <w:tcW w:w="7418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残疾人管理工作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主管部门</w:t>
            </w:r>
          </w:p>
        </w:tc>
        <w:tc>
          <w:tcPr>
            <w:tcW w:w="3364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残联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项目实施单位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残联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项目类别</w:t>
            </w:r>
          </w:p>
        </w:tc>
        <w:tc>
          <w:tcPr>
            <w:tcW w:w="7418" w:type="dxa"/>
            <w:gridSpan w:val="8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1、部门预算项目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default" w:ascii="Arial" w:hAnsi="Arial" w:eastAsia="仿宋_GB2312" w:cs="Arial"/>
                <w:kern w:val="0"/>
                <w:szCs w:val="21"/>
              </w:rPr>
              <w:t>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2、专项资金 □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、上级转移支付项目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项目属性</w:t>
            </w:r>
          </w:p>
        </w:tc>
        <w:tc>
          <w:tcPr>
            <w:tcW w:w="7418" w:type="dxa"/>
            <w:gridSpan w:val="8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1、持续性项目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default" w:ascii="Arial" w:hAnsi="Arial" w:eastAsia="仿宋_GB2312" w:cs="Arial"/>
                <w:kern w:val="0"/>
                <w:szCs w:val="21"/>
              </w:rPr>
              <w:t>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2、新增性项目 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项目类型</w:t>
            </w:r>
          </w:p>
        </w:tc>
        <w:tc>
          <w:tcPr>
            <w:tcW w:w="7418" w:type="dxa"/>
            <w:gridSpan w:val="8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1、常年性项目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default" w:ascii="Arial" w:hAnsi="Arial" w:eastAsia="仿宋_GB2312" w:cs="Arial"/>
                <w:kern w:val="0"/>
                <w:szCs w:val="21"/>
              </w:rPr>
              <w:t>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2、延续性项目 □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、一次续性项目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预算执行情况（万元）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（20分）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预算数（A)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执行数(B)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执行率(B/A)</w:t>
            </w:r>
          </w:p>
        </w:tc>
        <w:tc>
          <w:tcPr>
            <w:tcW w:w="2195" w:type="dxa"/>
            <w:gridSpan w:val="3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得分（20分*执行率）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年度财政资金总额</w:t>
            </w:r>
          </w:p>
        </w:tc>
        <w:tc>
          <w:tcPr>
            <w:tcW w:w="131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47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317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47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219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一级指标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二级指标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三级指标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年初目标值（A)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实际完成值(B)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产出指标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（40分）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成本指标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投入经费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47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47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数量指标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协会开展活动次数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效益指标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（40分）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社会效益指标</w:t>
            </w:r>
          </w:p>
        </w:tc>
        <w:tc>
          <w:tcPr>
            <w:tcW w:w="263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提高残疾人幸福指数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中长期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中长期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46" w:type="dxa"/>
            <w:gridSpan w:val="9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备注：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1.预算执行情况口径：预算数为调整后财政资金总额（包括上年结余结转），执行数为资金使用单位财政资金实际支出数。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.定量指标完成数汇总原则：绝对值直接累加计算，相对值按照资金额度加权平均计算。定量指标计分原则：正向指标（即目标值为≥X,得分=权重*B/A），反向指标（即目标值为≤X，得分=权重*A/B)，得分不得突破权重总额。定量指标先汇总完成数，再计算得分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.定性指标计分原则：达成预期指标、部分达成预期指标并具有一定效果、未达成预期指标且效果较差三档，分别按照该指标对应分值区间100-80%（含80%）、80-50%（含50%）、50-0%合理确定分值。汇总时，以资金额度为权重，对分值进行加权平均计算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4.基于经济性和必要性等因素考虑，满意度指标暂可不作为必评指标。</w:t>
            </w:r>
          </w:p>
        </w:tc>
      </w:tr>
    </w:tbl>
    <w:p/>
    <w:p>
      <w:pPr>
        <w:adjustRightInd w:val="0"/>
        <w:snapToGrid w:val="0"/>
        <w:spacing w:line="580" w:lineRule="atLeast"/>
        <w:ind w:firstLine="420" w:firstLineChars="200"/>
        <w:jc w:val="lef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16897"/>
    <w:multiLevelType w:val="singleLevel"/>
    <w:tmpl w:val="5D416897"/>
    <w:lvl w:ilvl="0" w:tentative="0">
      <w:start w:val="2"/>
      <w:numFmt w:val="chineseCounting"/>
      <w:suff w:val="nothing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4F3"/>
    <w:rsid w:val="00056ABF"/>
    <w:rsid w:val="000F43B6"/>
    <w:rsid w:val="001C0248"/>
    <w:rsid w:val="002D7E04"/>
    <w:rsid w:val="00364A30"/>
    <w:rsid w:val="0051574A"/>
    <w:rsid w:val="006204F3"/>
    <w:rsid w:val="00766A0D"/>
    <w:rsid w:val="008F2755"/>
    <w:rsid w:val="00B215C2"/>
    <w:rsid w:val="00B40288"/>
    <w:rsid w:val="00BE4BEA"/>
    <w:rsid w:val="00EA0FF9"/>
    <w:rsid w:val="00F52052"/>
    <w:rsid w:val="2D39286E"/>
    <w:rsid w:val="2FB2644F"/>
    <w:rsid w:val="4C000A99"/>
    <w:rsid w:val="615B104C"/>
    <w:rsid w:val="635B062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QKPC</Company>
  <Pages>3</Pages>
  <Words>197</Words>
  <Characters>1124</Characters>
  <Lines>9</Lines>
  <Paragraphs>2</Paragraphs>
  <ScaleCrop>false</ScaleCrop>
  <LinksUpToDate>false</LinksUpToDate>
  <CharactersWithSpaces>1319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2019-05-05T02:48:00Z</dcterms:created>
  <dc:creator>QKPC</dc:creator>
  <cp:lastModifiedBy>Administrator</cp:lastModifiedBy>
  <dcterms:modified xsi:type="dcterms:W3CDTF">2019-10-21T03:01:36Z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