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BC392">
      <w:pPr>
        <w:spacing w:line="760" w:lineRule="exact"/>
        <w:rPr>
          <w:rFonts w:ascii="Times New Roman" w:hAnsi="Times New Roman" w:eastAsia="仿宋" w:cs="Times New Roman"/>
          <w:b/>
          <w:color w:val="000000"/>
          <w:sz w:val="44"/>
          <w:szCs w:val="44"/>
        </w:rPr>
      </w:pPr>
      <w:bookmarkStart w:id="0" w:name="_Toc28051"/>
    </w:p>
    <w:p w14:paraId="60128E82">
      <w:pPr>
        <w:spacing w:line="760" w:lineRule="exact"/>
        <w:rPr>
          <w:rFonts w:ascii="Times New Roman" w:hAnsi="Times New Roman" w:eastAsia="仿宋" w:cs="Times New Roman"/>
          <w:b/>
          <w:color w:val="000000"/>
          <w:sz w:val="44"/>
          <w:szCs w:val="44"/>
        </w:rPr>
      </w:pPr>
    </w:p>
    <w:p w14:paraId="5C1CF32E">
      <w:pPr>
        <w:spacing w:line="760" w:lineRule="exact"/>
        <w:jc w:val="center"/>
        <w:rPr>
          <w:rFonts w:ascii="Times New Roman" w:hAnsi="Times New Roman" w:eastAsia="仿宋" w:cs="Times New Roman"/>
          <w:b/>
          <w:color w:val="000000"/>
          <w:sz w:val="44"/>
          <w:szCs w:val="44"/>
        </w:rPr>
      </w:pPr>
      <w:bookmarkStart w:id="159" w:name="_GoBack"/>
      <w:r>
        <w:rPr>
          <w:rFonts w:ascii="Times New Roman" w:hAnsi="Times New Roman" w:eastAsia="仿宋" w:cs="Times New Roman"/>
          <w:b/>
          <w:color w:val="000000"/>
          <w:sz w:val="44"/>
          <w:szCs w:val="44"/>
        </w:rPr>
        <w:t>2018</w:t>
      </w:r>
      <w:r>
        <w:rPr>
          <w:rFonts w:ascii="Times New Roman" w:hAnsi="仿宋" w:eastAsia="仿宋" w:cs="Times New Roman"/>
          <w:b/>
          <w:color w:val="000000"/>
          <w:sz w:val="44"/>
          <w:szCs w:val="44"/>
        </w:rPr>
        <w:t>年度基层党建综合事务经费</w:t>
      </w:r>
    </w:p>
    <w:p w14:paraId="0F122FE5">
      <w:pPr>
        <w:spacing w:line="760" w:lineRule="exact"/>
        <w:jc w:val="center"/>
        <w:rPr>
          <w:rFonts w:ascii="Times New Roman" w:hAnsi="Times New Roman" w:eastAsia="仿宋" w:cs="Times New Roman"/>
          <w:b/>
          <w:color w:val="000000"/>
          <w:sz w:val="44"/>
          <w:szCs w:val="44"/>
        </w:rPr>
      </w:pPr>
      <w:r>
        <w:rPr>
          <w:rFonts w:ascii="Times New Roman" w:hAnsi="仿宋" w:eastAsia="仿宋" w:cs="Times New Roman"/>
          <w:b/>
          <w:color w:val="000000"/>
          <w:sz w:val="44"/>
          <w:szCs w:val="44"/>
        </w:rPr>
        <w:t>绩效评价报告</w:t>
      </w:r>
    </w:p>
    <w:bookmarkEnd w:id="159"/>
    <w:p w14:paraId="2DB7AEA6">
      <w:pPr>
        <w:spacing w:line="500" w:lineRule="exact"/>
        <w:jc w:val="center"/>
        <w:rPr>
          <w:rFonts w:ascii="Times New Roman" w:hAnsi="仿宋" w:eastAsia="仿宋" w:cs="Times New Roman"/>
          <w:sz w:val="30"/>
          <w:szCs w:val="30"/>
        </w:rPr>
      </w:pPr>
    </w:p>
    <w:p w14:paraId="4B5F413D">
      <w:pPr>
        <w:spacing w:line="500" w:lineRule="exact"/>
        <w:jc w:val="center"/>
        <w:rPr>
          <w:rFonts w:ascii="Times New Roman" w:hAnsi="Times New Roman" w:eastAsia="仿宋" w:cs="Times New Roman"/>
          <w:b/>
          <w:bCs/>
          <w:sz w:val="30"/>
          <w:szCs w:val="30"/>
        </w:rPr>
      </w:pPr>
      <w:r>
        <w:rPr>
          <w:rFonts w:ascii="Times New Roman" w:hAnsi="Times New Roman" w:eastAsia="仿宋" w:cs="Times New Roman"/>
          <w:sz w:val="30"/>
          <w:szCs w:val="30"/>
        </w:rPr>
        <w:t>武泓昌宇咨字（2019）第003号</w:t>
      </w:r>
    </w:p>
    <w:p w14:paraId="713C75CD">
      <w:pPr>
        <w:widowControl/>
        <w:spacing w:line="760" w:lineRule="exact"/>
        <w:ind w:firstLine="790" w:firstLineChars="246"/>
        <w:jc w:val="left"/>
        <w:rPr>
          <w:rFonts w:ascii="Times New Roman" w:hAnsi="Times New Roman" w:eastAsia="仿宋" w:cs="Times New Roman"/>
          <w:b/>
          <w:bCs/>
          <w:kern w:val="32"/>
          <w:sz w:val="32"/>
          <w:lang w:bidi="he-IL"/>
        </w:rPr>
      </w:pPr>
    </w:p>
    <w:p w14:paraId="0A997790">
      <w:pPr>
        <w:widowControl/>
        <w:spacing w:line="760" w:lineRule="exact"/>
        <w:ind w:firstLine="790" w:firstLineChars="246"/>
        <w:jc w:val="left"/>
        <w:rPr>
          <w:rFonts w:ascii="Times New Roman" w:hAnsi="Times New Roman" w:eastAsia="仿宋" w:cs="Times New Roman"/>
          <w:b/>
          <w:bCs/>
          <w:kern w:val="32"/>
          <w:sz w:val="32"/>
          <w:lang w:bidi="he-IL"/>
        </w:rPr>
      </w:pPr>
    </w:p>
    <w:p w14:paraId="78C9DF17">
      <w:pPr>
        <w:widowControl/>
        <w:spacing w:line="760" w:lineRule="exact"/>
        <w:ind w:firstLine="790" w:firstLineChars="246"/>
        <w:jc w:val="left"/>
        <w:rPr>
          <w:rFonts w:ascii="Times New Roman" w:hAnsi="Times New Roman" w:eastAsia="仿宋" w:cs="Times New Roman"/>
          <w:b/>
          <w:bCs/>
          <w:kern w:val="32"/>
          <w:sz w:val="32"/>
          <w:lang w:bidi="he-IL"/>
        </w:rPr>
      </w:pPr>
    </w:p>
    <w:p w14:paraId="212E6CFB">
      <w:pPr>
        <w:widowControl/>
        <w:spacing w:line="760" w:lineRule="exact"/>
        <w:ind w:firstLine="790" w:firstLineChars="246"/>
        <w:jc w:val="left"/>
        <w:rPr>
          <w:rFonts w:ascii="Times New Roman" w:hAnsi="Times New Roman" w:eastAsia="仿宋" w:cs="Times New Roman"/>
          <w:b/>
          <w:bCs/>
          <w:kern w:val="32"/>
          <w:sz w:val="32"/>
          <w:lang w:bidi="he-IL"/>
        </w:rPr>
      </w:pPr>
    </w:p>
    <w:p w14:paraId="7ACF0D8C">
      <w:pPr>
        <w:widowControl/>
        <w:spacing w:line="760" w:lineRule="exact"/>
        <w:ind w:firstLine="790" w:firstLineChars="246"/>
        <w:jc w:val="left"/>
        <w:rPr>
          <w:rFonts w:ascii="Times New Roman" w:hAnsi="Times New Roman" w:eastAsia="仿宋" w:cs="Times New Roman"/>
          <w:b/>
          <w:bCs/>
          <w:kern w:val="32"/>
          <w:sz w:val="32"/>
          <w:lang w:bidi="he-IL"/>
        </w:rPr>
      </w:pPr>
    </w:p>
    <w:p w14:paraId="10813045">
      <w:pPr>
        <w:widowControl/>
        <w:spacing w:line="760" w:lineRule="exact"/>
        <w:ind w:firstLine="790" w:firstLineChars="246"/>
        <w:jc w:val="left"/>
        <w:rPr>
          <w:rFonts w:ascii="Times New Roman" w:hAnsi="Times New Roman" w:eastAsia="仿宋" w:cs="Times New Roman"/>
          <w:b/>
          <w:bCs/>
          <w:kern w:val="32"/>
          <w:sz w:val="32"/>
          <w:lang w:bidi="he-IL"/>
        </w:rPr>
      </w:pPr>
    </w:p>
    <w:p w14:paraId="00998C3A">
      <w:pPr>
        <w:widowControl/>
        <w:spacing w:line="600" w:lineRule="exact"/>
        <w:ind w:firstLine="787" w:firstLineChars="246"/>
        <w:jc w:val="left"/>
        <w:rPr>
          <w:rFonts w:ascii="Times New Roman" w:hAnsi="Times New Roman" w:eastAsia="仿宋" w:cs="Times New Roman"/>
          <w:bCs/>
          <w:sz w:val="30"/>
          <w:szCs w:val="30"/>
        </w:rPr>
      </w:pPr>
      <w:r>
        <w:rPr>
          <w:rFonts w:ascii="Times New Roman" w:hAnsi="仿宋" w:eastAsia="仿宋" w:cs="Times New Roman"/>
          <w:bCs/>
          <w:sz w:val="32"/>
          <w:szCs w:val="32"/>
        </w:rPr>
        <w:t>项目名称：</w:t>
      </w:r>
      <w:r>
        <w:rPr>
          <w:rFonts w:ascii="Times New Roman" w:hAnsi="Times New Roman" w:eastAsia="仿宋" w:cs="Times New Roman"/>
          <w:bCs/>
          <w:sz w:val="32"/>
          <w:szCs w:val="32"/>
        </w:rPr>
        <w:t>2018</w:t>
      </w:r>
      <w:r>
        <w:rPr>
          <w:rFonts w:ascii="Times New Roman" w:hAnsi="仿宋" w:eastAsia="仿宋" w:cs="Times New Roman"/>
          <w:bCs/>
          <w:sz w:val="32"/>
          <w:szCs w:val="32"/>
        </w:rPr>
        <w:t>年度基层党建综合事务经费</w:t>
      </w:r>
    </w:p>
    <w:p w14:paraId="62F5DA48">
      <w:pPr>
        <w:widowControl/>
        <w:spacing w:line="600" w:lineRule="exact"/>
        <w:ind w:firstLine="787" w:firstLineChars="246"/>
        <w:jc w:val="left"/>
        <w:rPr>
          <w:rFonts w:ascii="Times New Roman" w:hAnsi="Times New Roman" w:eastAsia="仿宋" w:cs="Times New Roman"/>
          <w:bCs/>
          <w:sz w:val="32"/>
          <w:szCs w:val="32"/>
        </w:rPr>
      </w:pPr>
      <w:r>
        <w:rPr>
          <w:rFonts w:ascii="Times New Roman" w:hAnsi="仿宋" w:eastAsia="仿宋" w:cs="Times New Roman"/>
          <w:bCs/>
          <w:sz w:val="32"/>
          <w:szCs w:val="32"/>
        </w:rPr>
        <w:t>项目单位：武汉市硚口区人民政府六角亭街办事处</w:t>
      </w:r>
    </w:p>
    <w:p w14:paraId="295094C5">
      <w:pPr>
        <w:widowControl/>
        <w:spacing w:line="600" w:lineRule="exact"/>
        <w:ind w:firstLine="787" w:firstLineChars="246"/>
        <w:jc w:val="left"/>
        <w:rPr>
          <w:rFonts w:ascii="Times New Roman" w:hAnsi="Times New Roman" w:eastAsia="仿宋" w:cs="Times New Roman"/>
          <w:bCs/>
          <w:sz w:val="32"/>
          <w:szCs w:val="32"/>
        </w:rPr>
      </w:pPr>
      <w:r>
        <w:rPr>
          <w:rFonts w:ascii="Times New Roman" w:hAnsi="仿宋" w:eastAsia="仿宋" w:cs="Times New Roman"/>
          <w:bCs/>
          <w:sz w:val="32"/>
          <w:szCs w:val="32"/>
        </w:rPr>
        <w:t>主管部门：武汉市硚口区人民政府六角亭街办事处</w:t>
      </w:r>
    </w:p>
    <w:p w14:paraId="4062F9E7">
      <w:pPr>
        <w:widowControl/>
        <w:spacing w:line="600" w:lineRule="exact"/>
        <w:ind w:firstLine="787" w:firstLineChars="246"/>
        <w:jc w:val="left"/>
        <w:rPr>
          <w:rFonts w:ascii="Times New Roman" w:hAnsi="Times New Roman" w:eastAsia="仿宋" w:cs="Times New Roman"/>
          <w:bCs/>
          <w:sz w:val="32"/>
          <w:szCs w:val="32"/>
        </w:rPr>
      </w:pPr>
      <w:r>
        <w:rPr>
          <w:rFonts w:ascii="Times New Roman" w:hAnsi="仿宋" w:eastAsia="仿宋" w:cs="Times New Roman"/>
          <w:bCs/>
          <w:kern w:val="32"/>
          <w:sz w:val="32"/>
          <w:lang w:bidi="he-IL"/>
        </w:rPr>
        <w:t>评价实施机构：</w:t>
      </w:r>
      <w:r>
        <w:rPr>
          <w:rFonts w:ascii="Times New Roman" w:hAnsi="仿宋" w:eastAsia="仿宋" w:cs="Times New Roman"/>
          <w:bCs/>
          <w:sz w:val="32"/>
          <w:szCs w:val="32"/>
        </w:rPr>
        <w:t>武汉泓昌宇会计师事务所（普通合伙）</w:t>
      </w:r>
    </w:p>
    <w:p w14:paraId="1A5DE5A8">
      <w:pPr>
        <w:spacing w:line="760" w:lineRule="exact"/>
        <w:rPr>
          <w:rFonts w:ascii="Times New Roman" w:hAnsi="Times New Roman" w:eastAsia="仿宋" w:cs="Times New Roman"/>
          <w:b/>
          <w:bCs/>
          <w:sz w:val="32"/>
          <w:szCs w:val="32"/>
        </w:rPr>
      </w:pPr>
    </w:p>
    <w:p w14:paraId="49AD8D1D">
      <w:pPr>
        <w:spacing w:line="760" w:lineRule="exact"/>
        <w:rPr>
          <w:rFonts w:ascii="Times New Roman" w:hAnsi="Times New Roman" w:eastAsia="仿宋" w:cs="Times New Roman"/>
          <w:b/>
          <w:bCs/>
          <w:sz w:val="32"/>
          <w:szCs w:val="32"/>
        </w:rPr>
      </w:pPr>
    </w:p>
    <w:p w14:paraId="4B52C29B">
      <w:pPr>
        <w:spacing w:line="760" w:lineRule="exact"/>
        <w:jc w:val="center"/>
        <w:rPr>
          <w:rFonts w:ascii="Times New Roman" w:hAnsi="Times New Roman" w:eastAsia="仿宋" w:cs="Times New Roman"/>
          <w:bCs/>
          <w:sz w:val="32"/>
          <w:szCs w:val="32"/>
        </w:rPr>
      </w:pPr>
      <w:r>
        <w:rPr>
          <w:rFonts w:ascii="Times New Roman" w:hAnsi="仿宋" w:eastAsia="仿宋" w:cs="Times New Roman"/>
          <w:bCs/>
          <w:sz w:val="32"/>
          <w:szCs w:val="32"/>
        </w:rPr>
        <w:t>二〇一九年八月</w:t>
      </w:r>
      <w:r>
        <w:rPr>
          <w:rFonts w:hint="eastAsia" w:ascii="Times New Roman" w:hAnsi="仿宋" w:eastAsia="仿宋" w:cs="Times New Roman"/>
          <w:bCs/>
          <w:sz w:val="32"/>
          <w:szCs w:val="32"/>
        </w:rPr>
        <w:t>二十一</w:t>
      </w:r>
      <w:r>
        <w:rPr>
          <w:rFonts w:ascii="Times New Roman" w:hAnsi="仿宋" w:eastAsia="仿宋" w:cs="Times New Roman"/>
          <w:bCs/>
          <w:sz w:val="32"/>
          <w:szCs w:val="32"/>
        </w:rPr>
        <w:t>日</w:t>
      </w:r>
    </w:p>
    <w:p w14:paraId="2016FC8D">
      <w:pPr>
        <w:spacing w:line="720" w:lineRule="exact"/>
        <w:outlineLvl w:val="0"/>
        <w:rPr>
          <w:rFonts w:ascii="Times New Roman" w:hAnsi="Times New Roman" w:eastAsia="仿宋" w:cs="Times New Roman"/>
          <w:b/>
          <w:sz w:val="44"/>
          <w:szCs w:val="44"/>
        </w:rPr>
      </w:pPr>
    </w:p>
    <w:p w14:paraId="112CDF98">
      <w:pPr>
        <w:spacing w:line="720" w:lineRule="exact"/>
        <w:ind w:firstLine="3534" w:firstLineChars="800"/>
        <w:rPr>
          <w:rFonts w:ascii="Times New Roman" w:hAnsi="Times New Roman" w:eastAsia="仿宋" w:cs="Times New Roman"/>
          <w:b/>
          <w:bCs/>
          <w:sz w:val="44"/>
          <w:szCs w:val="44"/>
        </w:rPr>
      </w:pPr>
    </w:p>
    <w:p w14:paraId="0B6F77AD">
      <w:pPr>
        <w:spacing w:line="720" w:lineRule="exact"/>
        <w:ind w:firstLine="3534" w:firstLineChars="800"/>
        <w:rPr>
          <w:rFonts w:ascii="Times New Roman" w:hAnsi="Times New Roman" w:eastAsia="仿宋" w:cs="Times New Roman"/>
          <w:b/>
          <w:bCs/>
          <w:sz w:val="44"/>
          <w:szCs w:val="44"/>
        </w:rPr>
      </w:pPr>
      <w:r>
        <w:rPr>
          <w:rFonts w:ascii="Times New Roman" w:hAnsi="仿宋" w:eastAsia="仿宋" w:cs="Times New Roman"/>
          <w:b/>
          <w:bCs/>
          <w:sz w:val="44"/>
          <w:szCs w:val="44"/>
        </w:rPr>
        <w:t>前</w:t>
      </w:r>
      <w:r>
        <w:rPr>
          <w:rFonts w:ascii="Times New Roman" w:hAnsi="Times New Roman" w:eastAsia="仿宋" w:cs="Times New Roman"/>
          <w:b/>
          <w:bCs/>
          <w:sz w:val="44"/>
          <w:szCs w:val="44"/>
        </w:rPr>
        <w:t xml:space="preserve"> </w:t>
      </w:r>
      <w:r>
        <w:rPr>
          <w:rFonts w:ascii="Times New Roman" w:hAnsi="仿宋" w:eastAsia="仿宋" w:cs="Times New Roman"/>
          <w:b/>
          <w:bCs/>
          <w:sz w:val="44"/>
          <w:szCs w:val="44"/>
        </w:rPr>
        <w:t>言</w:t>
      </w:r>
    </w:p>
    <w:p w14:paraId="3F6B02E3">
      <w:pPr>
        <w:spacing w:line="720" w:lineRule="exact"/>
        <w:ind w:firstLine="3534" w:firstLineChars="800"/>
        <w:rPr>
          <w:rFonts w:ascii="Times New Roman" w:hAnsi="Times New Roman" w:eastAsia="仿宋" w:cs="Times New Roman"/>
          <w:b/>
          <w:bCs/>
          <w:sz w:val="44"/>
          <w:szCs w:val="44"/>
        </w:rPr>
      </w:pPr>
    </w:p>
    <w:p w14:paraId="05D97C9D">
      <w:pPr>
        <w:spacing w:line="500" w:lineRule="exact"/>
        <w:ind w:firstLine="482"/>
        <w:rPr>
          <w:rFonts w:ascii="Times New Roman" w:hAnsi="Times New Roman" w:eastAsia="仿宋" w:cs="Times New Roman"/>
          <w:sz w:val="28"/>
          <w:szCs w:val="28"/>
        </w:rPr>
      </w:pPr>
      <w:r>
        <w:rPr>
          <w:rFonts w:ascii="Times New Roman" w:hAnsi="仿宋" w:eastAsia="仿宋" w:cs="Times New Roman"/>
          <w:sz w:val="28"/>
          <w:szCs w:val="28"/>
        </w:rPr>
        <w:t>为全面了解</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年度基层党建综合事务经费的使用情况和使用效果，同时为以后年度该项目的开展提供参考，武汉市硚口区人民政府六角亭街办事处进行了</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年度基层党建综合事务经费项目绩效自评工作。</w:t>
      </w:r>
    </w:p>
    <w:p w14:paraId="369E9562">
      <w:pPr>
        <w:tabs>
          <w:tab w:val="left" w:pos="1985"/>
        </w:tabs>
        <w:snapToGrid w:val="0"/>
        <w:spacing w:line="500" w:lineRule="exact"/>
        <w:ind w:firstLine="482"/>
        <w:rPr>
          <w:rFonts w:ascii="Times New Roman" w:hAnsi="Times New Roman" w:eastAsia="仿宋" w:cs="Times New Roman"/>
          <w:sz w:val="28"/>
          <w:szCs w:val="28"/>
        </w:rPr>
      </w:pPr>
      <w:r>
        <w:rPr>
          <w:rFonts w:ascii="Times New Roman" w:hAnsi="仿宋" w:eastAsia="仿宋" w:cs="Times New Roman"/>
          <w:sz w:val="28"/>
          <w:szCs w:val="28"/>
        </w:rPr>
        <w:t>武汉泓昌宇会计师事务所（普通合伙）接受武汉市硚口区人民政府六角亭街办事处委托，依照财政部《财政支出绩效评价管理暂行办法》（财预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号文件）、湖北省财政厅《湖北省省级财政项目资金绩效评价实施暂行办法》（鄂财绩发</w:t>
      </w:r>
      <w:r>
        <w:rPr>
          <w:rFonts w:ascii="Times New Roman" w:hAnsi="Times New Roman" w:eastAsia="仿宋" w:cs="Times New Roman"/>
          <w:sz w:val="28"/>
          <w:szCs w:val="28"/>
        </w:rPr>
        <w:t>[2012]5</w:t>
      </w:r>
      <w:r>
        <w:rPr>
          <w:rFonts w:ascii="Times New Roman" w:hAnsi="仿宋" w:eastAsia="仿宋" w:cs="Times New Roman"/>
          <w:sz w:val="28"/>
          <w:szCs w:val="28"/>
        </w:rPr>
        <w:t>号文件）、《湖北省财政项目资金绩效评价操作指南》（鄂财函</w:t>
      </w:r>
      <w:r>
        <w:rPr>
          <w:rFonts w:ascii="Times New Roman" w:hAnsi="Times New Roman" w:eastAsia="仿宋" w:cs="Times New Roman"/>
          <w:sz w:val="28"/>
          <w:szCs w:val="28"/>
        </w:rPr>
        <w:t>[2014]376</w:t>
      </w:r>
      <w:r>
        <w:rPr>
          <w:rFonts w:ascii="Times New Roman" w:hAnsi="仿宋" w:eastAsia="仿宋" w:cs="Times New Roman"/>
          <w:sz w:val="28"/>
          <w:szCs w:val="28"/>
        </w:rPr>
        <w:t>号）、硚口区财政局《</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的规定和要求，秉承第三方评价应遵循的客观、公平、公正原则，运用科学、合理的评价方法，实施了充分、必要的评价程序，进而形成了比较客观、公允的评价结论，形成本绩效评价报告。</w:t>
      </w:r>
      <w:r>
        <w:rPr>
          <w:rFonts w:ascii="Times New Roman" w:hAnsi="Times New Roman" w:eastAsia="仿宋" w:cs="Times New Roman"/>
          <w:sz w:val="28"/>
          <w:szCs w:val="28"/>
        </w:rPr>
        <w:t xml:space="preserve">  </w:t>
      </w:r>
    </w:p>
    <w:p w14:paraId="3536B535">
      <w:pPr>
        <w:tabs>
          <w:tab w:val="left" w:pos="1985"/>
        </w:tabs>
        <w:snapToGrid w:val="0"/>
        <w:spacing w:line="500" w:lineRule="exact"/>
        <w:ind w:firstLine="482"/>
        <w:rPr>
          <w:rFonts w:ascii="Times New Roman" w:hAnsi="Times New Roman" w:eastAsia="仿宋" w:cs="Times New Roman"/>
          <w:sz w:val="28"/>
          <w:szCs w:val="28"/>
        </w:rPr>
      </w:pPr>
      <w:r>
        <w:rPr>
          <w:rFonts w:ascii="Times New Roman" w:hAnsi="仿宋" w:eastAsia="仿宋" w:cs="Times New Roman"/>
          <w:sz w:val="28"/>
          <w:szCs w:val="28"/>
        </w:rPr>
        <w:t>武汉泓昌宇会计师事务所（普通合伙）实施的本项目绩效评价工作是在武汉市硚口区人民政府六角亭街办事处配合下完成的，武汉市硚口区人民政府六角亭街办事处及其相关部门的支持和配合保障了本项目绩效评价工作的顺利实施。</w:t>
      </w:r>
    </w:p>
    <w:p w14:paraId="4D2D9952">
      <w:pPr>
        <w:snapToGrid w:val="0"/>
        <w:spacing w:line="500" w:lineRule="exact"/>
        <w:jc w:val="center"/>
        <w:rPr>
          <w:rFonts w:ascii="Times New Roman" w:hAnsi="Times New Roman" w:eastAsia="仿宋" w:cs="Times New Roman"/>
          <w:b/>
          <w:sz w:val="32"/>
          <w:szCs w:val="32"/>
          <w:highlight w:val="yellow"/>
        </w:rPr>
      </w:pPr>
    </w:p>
    <w:p w14:paraId="2D9044BC">
      <w:pPr>
        <w:spacing w:line="760" w:lineRule="exact"/>
        <w:rPr>
          <w:rFonts w:ascii="Times New Roman" w:hAnsi="Times New Roman" w:eastAsia="仿宋" w:cs="Times New Roman"/>
          <w:b/>
          <w:bCs/>
          <w:sz w:val="28"/>
          <w:szCs w:val="28"/>
          <w:highlight w:val="yellow"/>
        </w:rPr>
      </w:pPr>
    </w:p>
    <w:p w14:paraId="16B69F65">
      <w:pPr>
        <w:spacing w:line="760" w:lineRule="exact"/>
        <w:rPr>
          <w:rFonts w:ascii="Times New Roman" w:hAnsi="Times New Roman" w:eastAsia="仿宋" w:cs="Times New Roman"/>
          <w:b/>
          <w:bCs/>
          <w:sz w:val="28"/>
          <w:szCs w:val="28"/>
          <w:highlight w:val="yellow"/>
        </w:rPr>
      </w:pPr>
    </w:p>
    <w:p w14:paraId="0C240979">
      <w:pPr>
        <w:spacing w:line="760" w:lineRule="exact"/>
        <w:rPr>
          <w:rFonts w:ascii="Times New Roman" w:hAnsi="Times New Roman" w:eastAsia="仿宋" w:cs="Times New Roman"/>
          <w:b/>
          <w:bCs/>
          <w:sz w:val="28"/>
          <w:szCs w:val="28"/>
          <w:highlight w:val="yellow"/>
        </w:rPr>
      </w:pPr>
    </w:p>
    <w:p w14:paraId="68AFFE6C">
      <w:pPr>
        <w:spacing w:line="760" w:lineRule="exact"/>
        <w:rPr>
          <w:rFonts w:ascii="Times New Roman" w:hAnsi="Times New Roman" w:eastAsia="仿宋" w:cs="Times New Roman"/>
          <w:b/>
          <w:bCs/>
          <w:sz w:val="28"/>
          <w:szCs w:val="28"/>
          <w:highlight w:val="yellow"/>
        </w:rPr>
      </w:pPr>
    </w:p>
    <w:p w14:paraId="183AB973">
      <w:pPr>
        <w:spacing w:line="440" w:lineRule="exact"/>
        <w:jc w:val="center"/>
        <w:rPr>
          <w:rFonts w:ascii="Times New Roman" w:hAnsi="Times New Roman" w:eastAsia="仿宋" w:cs="Times New Roman"/>
          <w:b/>
          <w:bCs/>
          <w:sz w:val="44"/>
          <w:szCs w:val="44"/>
        </w:rPr>
      </w:pPr>
    </w:p>
    <w:p w14:paraId="790CE47E">
      <w:pPr>
        <w:spacing w:line="440" w:lineRule="exact"/>
        <w:jc w:val="center"/>
        <w:rPr>
          <w:rFonts w:ascii="Times New Roman" w:hAnsi="Times New Roman" w:eastAsia="仿宋" w:cs="Times New Roman"/>
          <w:b/>
          <w:bCs/>
          <w:sz w:val="44"/>
          <w:szCs w:val="44"/>
        </w:rPr>
      </w:pPr>
      <w:r>
        <w:rPr>
          <w:rFonts w:ascii="Times New Roman" w:hAnsi="仿宋" w:eastAsia="仿宋" w:cs="Times New Roman"/>
          <w:b/>
          <w:bCs/>
          <w:sz w:val="44"/>
          <w:szCs w:val="44"/>
        </w:rPr>
        <w:t>目</w:t>
      </w:r>
      <w:r>
        <w:rPr>
          <w:rFonts w:ascii="Times New Roman" w:hAnsi="Times New Roman" w:eastAsia="仿宋" w:cs="Times New Roman"/>
          <w:b/>
          <w:bCs/>
          <w:sz w:val="44"/>
          <w:szCs w:val="44"/>
        </w:rPr>
        <w:t xml:space="preserve">  </w:t>
      </w:r>
      <w:r>
        <w:rPr>
          <w:rFonts w:ascii="Times New Roman" w:hAnsi="仿宋" w:eastAsia="仿宋" w:cs="Times New Roman"/>
          <w:b/>
          <w:bCs/>
          <w:sz w:val="44"/>
          <w:szCs w:val="44"/>
        </w:rPr>
        <w:t>录</w:t>
      </w:r>
    </w:p>
    <w:p w14:paraId="06127E1C">
      <w:pPr>
        <w:snapToGrid w:val="0"/>
        <w:spacing w:line="440" w:lineRule="exact"/>
        <w:rPr>
          <w:rFonts w:ascii="Times New Roman" w:hAnsi="Times New Roman" w:eastAsia="仿宋" w:cs="Times New Roman"/>
          <w:sz w:val="24"/>
          <w:szCs w:val="24"/>
        </w:rPr>
      </w:pPr>
    </w:p>
    <w:p w14:paraId="39E8DD60">
      <w:pPr>
        <w:pStyle w:val="8"/>
        <w:tabs>
          <w:tab w:val="right" w:leader="dot" w:pos="8703"/>
        </w:tabs>
        <w:spacing w:before="0" w:after="0" w:line="420" w:lineRule="exact"/>
        <w:rPr>
          <w:rFonts w:ascii="Times New Roman" w:hAnsi="Times New Roman" w:eastAsia="仿宋" w:cs="Times New Roman"/>
          <w:b w:val="0"/>
          <w:bCs w:val="0"/>
          <w:caps w:val="0"/>
          <w:szCs w:val="28"/>
        </w:rPr>
      </w:pPr>
      <w:r>
        <w:rPr>
          <w:rFonts w:ascii="Times New Roman" w:hAnsi="仿宋" w:eastAsia="仿宋" w:cs="Times New Roman"/>
          <w:caps w:val="0"/>
          <w:szCs w:val="28"/>
        </w:rPr>
        <w:t>第一部分</w:t>
      </w:r>
      <w:r>
        <w:rPr>
          <w:rFonts w:ascii="Times New Roman" w:hAnsi="Times New Roman" w:eastAsia="仿宋" w:cs="Times New Roman"/>
          <w:b w:val="0"/>
          <w:bCs w:val="0"/>
          <w:caps w:val="0"/>
          <w:szCs w:val="28"/>
        </w:rPr>
        <w:t xml:space="preserve">  </w:t>
      </w:r>
      <w:r>
        <w:rPr>
          <w:rFonts w:ascii="Times New Roman" w:hAnsi="Times New Roman" w:eastAsia="仿宋" w:cs="Times New Roman"/>
          <w:b w:val="0"/>
          <w:bCs w:val="0"/>
          <w:caps w:val="0"/>
          <w:szCs w:val="28"/>
        </w:rPr>
        <w:fldChar w:fldCharType="begin"/>
      </w:r>
      <w:r>
        <w:rPr>
          <w:rFonts w:ascii="Times New Roman" w:hAnsi="Times New Roman" w:eastAsia="仿宋" w:cs="Times New Roman"/>
          <w:b w:val="0"/>
          <w:bCs w:val="0"/>
          <w:caps w:val="0"/>
          <w:szCs w:val="28"/>
        </w:rPr>
        <w:instrText xml:space="preserve"> TOC \o "1-4" \h \z \u </w:instrText>
      </w:r>
      <w:r>
        <w:rPr>
          <w:rFonts w:ascii="Times New Roman" w:hAnsi="Times New Roman" w:eastAsia="仿宋" w:cs="Times New Roman"/>
          <w:b w:val="0"/>
          <w:bCs w:val="0"/>
          <w:caps w:val="0"/>
          <w:szCs w:val="28"/>
        </w:rPr>
        <w:fldChar w:fldCharType="separate"/>
      </w:r>
      <w:r>
        <w:fldChar w:fldCharType="begin"/>
      </w:r>
      <w:r>
        <w:instrText xml:space="preserve"> HYPERLINK \l "_Toc28051" </w:instrText>
      </w:r>
      <w:r>
        <w:fldChar w:fldCharType="separate"/>
      </w:r>
      <w:r>
        <w:rPr>
          <w:rFonts w:ascii="Times New Roman" w:hAnsi="仿宋" w:eastAsia="仿宋" w:cs="Times New Roman"/>
          <w:caps w:val="0"/>
          <w:szCs w:val="28"/>
        </w:rPr>
        <w:t>摘要</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p>
    <w:p w14:paraId="19655F95">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"_Toc23664" </w:instrText>
      </w:r>
      <w:r>
        <w:fldChar w:fldCharType="separate"/>
      </w:r>
      <w:r>
        <w:rPr>
          <w:rFonts w:ascii="Times New Roman" w:hAnsi="仿宋" w:eastAsia="仿宋" w:cs="Times New Roman"/>
          <w:caps w:val="0"/>
          <w:szCs w:val="28"/>
        </w:rPr>
        <w:t>第二部分</w:t>
      </w:r>
      <w:r>
        <w:rPr>
          <w:rFonts w:ascii="Times New Roman" w:hAnsi="Times New Roman" w:eastAsia="仿宋" w:cs="Times New Roman"/>
          <w:caps w:val="0"/>
          <w:szCs w:val="28"/>
        </w:rPr>
        <w:t xml:space="preserve">  </w:t>
      </w:r>
      <w:r>
        <w:rPr>
          <w:rFonts w:ascii="Times New Roman" w:hAnsi="仿宋" w:eastAsia="仿宋" w:cs="Times New Roman"/>
          <w:caps w:val="0"/>
          <w:szCs w:val="28"/>
        </w:rPr>
        <w:t>正文</w:t>
      </w:r>
      <w:r>
        <w:rPr>
          <w:rFonts w:ascii="Times New Roman" w:hAnsi="Times New Roman" w:eastAsia="仿宋" w:cs="Times New Roman"/>
          <w:caps w:val="0"/>
          <w:szCs w:val="28"/>
        </w:rPr>
        <w:tab/>
      </w:r>
      <w:r>
        <w:rPr>
          <w:rFonts w:ascii="Times New Roman" w:hAnsi="Times New Roman" w:eastAsia="仿宋" w:cs="Times New Roman"/>
          <w:caps w:val="0"/>
          <w:szCs w:val="28"/>
        </w:rPr>
        <w:t>3</w:t>
      </w:r>
      <w:r>
        <w:rPr>
          <w:rFonts w:ascii="Times New Roman" w:hAnsi="Times New Roman" w:eastAsia="仿宋" w:cs="Times New Roman"/>
          <w:caps w:val="0"/>
          <w:szCs w:val="28"/>
        </w:rPr>
        <w:fldChar w:fldCharType="end"/>
      </w:r>
    </w:p>
    <w:p w14:paraId="619A005C">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"_Toc23664" </w:instrText>
      </w:r>
      <w:r>
        <w:fldChar w:fldCharType="separate"/>
      </w:r>
      <w:r>
        <w:rPr>
          <w:rFonts w:ascii="Times New Roman" w:hAnsi="仿宋" w:eastAsia="仿宋" w:cs="Times New Roman"/>
          <w:caps w:val="0"/>
          <w:szCs w:val="28"/>
        </w:rPr>
        <w:t>一、</w:t>
      </w:r>
      <w:r>
        <w:rPr>
          <w:rFonts w:ascii="Times New Roman" w:hAnsi="Times New Roman" w:eastAsia="仿宋" w:cs="Times New Roman"/>
          <w:caps w:val="0"/>
          <w:szCs w:val="28"/>
        </w:rPr>
        <w:t xml:space="preserve"> </w:t>
      </w:r>
      <w:r>
        <w:rPr>
          <w:rFonts w:ascii="Times New Roman" w:hAnsi="仿宋" w:eastAsia="仿宋" w:cs="Times New Roman"/>
          <w:caps w:val="0"/>
          <w:szCs w:val="28"/>
        </w:rPr>
        <w:t>项目基本情况</w:t>
      </w:r>
      <w:r>
        <w:rPr>
          <w:rFonts w:ascii="Times New Roman" w:hAnsi="Times New Roman" w:eastAsia="仿宋" w:cs="Times New Roman"/>
          <w:caps w:val="0"/>
          <w:szCs w:val="28"/>
        </w:rPr>
        <w:tab/>
      </w:r>
      <w:r>
        <w:rPr>
          <w:rFonts w:ascii="Times New Roman" w:hAnsi="Times New Roman" w:eastAsia="仿宋" w:cs="Times New Roman"/>
          <w:caps w:val="0"/>
          <w:szCs w:val="28"/>
        </w:rPr>
        <w:t>3</w:t>
      </w:r>
      <w:r>
        <w:rPr>
          <w:rFonts w:ascii="Times New Roman" w:hAnsi="Times New Roman" w:eastAsia="仿宋" w:cs="Times New Roman"/>
          <w:caps w:val="0"/>
          <w:szCs w:val="28"/>
        </w:rPr>
        <w:fldChar w:fldCharType="end"/>
      </w:r>
    </w:p>
    <w:p w14:paraId="001DB5B2">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"_Toc30193"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项目概况</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p>
    <w:p w14:paraId="65179D68">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"_Toc12950" </w:instrText>
      </w:r>
      <w:r>
        <w:fldChar w:fldCharType="separate"/>
      </w:r>
      <w:r>
        <w:rPr>
          <w:rFonts w:ascii="Times New Roman" w:hAnsi="Times New Roman" w:eastAsia="仿宋" w:cs="Times New Roman"/>
          <w:szCs w:val="28"/>
        </w:rPr>
        <w:t>1</w:t>
      </w:r>
      <w:r>
        <w:rPr>
          <w:rFonts w:ascii="Times New Roman" w:hAnsi="仿宋" w:eastAsia="仿宋" w:cs="Times New Roman"/>
          <w:szCs w:val="28"/>
        </w:rPr>
        <w:t>．项目立项背景</w:t>
      </w:r>
      <w:r>
        <w:rPr>
          <w:rFonts w:ascii="Times New Roman" w:hAnsi="Times New Roman" w:eastAsia="仿宋" w:cs="Times New Roman"/>
          <w:szCs w:val="28"/>
        </w:rPr>
        <w:tab/>
      </w:r>
      <w:r>
        <w:rPr>
          <w:rFonts w:ascii="Times New Roman" w:hAnsi="Times New Roman" w:eastAsia="仿宋" w:cs="Times New Roman"/>
          <w:szCs w:val="28"/>
        </w:rPr>
        <w:t>3</w:t>
      </w:r>
      <w:r>
        <w:rPr>
          <w:rFonts w:ascii="Times New Roman" w:hAnsi="Times New Roman" w:eastAsia="仿宋" w:cs="Times New Roman"/>
          <w:szCs w:val="28"/>
        </w:rPr>
        <w:fldChar w:fldCharType="end"/>
      </w:r>
    </w:p>
    <w:p w14:paraId="35A7448D">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"_Toc31302" </w:instrText>
      </w:r>
      <w:r>
        <w:fldChar w:fldCharType="separate"/>
      </w:r>
      <w:r>
        <w:rPr>
          <w:rFonts w:ascii="Times New Roman" w:hAnsi="Times New Roman" w:eastAsia="仿宋" w:cs="Times New Roman"/>
          <w:szCs w:val="28"/>
        </w:rPr>
        <w:t>2</w:t>
      </w:r>
      <w:r>
        <w:rPr>
          <w:rFonts w:ascii="Times New Roman" w:hAnsi="仿宋" w:eastAsia="仿宋" w:cs="Times New Roman"/>
          <w:szCs w:val="28"/>
        </w:rPr>
        <w:t>．项目实施情况</w:t>
      </w:r>
      <w:r>
        <w:rPr>
          <w:rFonts w:ascii="Times New Roman" w:hAnsi="Times New Roman" w:eastAsia="仿宋" w:cs="Times New Roman"/>
          <w:szCs w:val="28"/>
        </w:rPr>
        <w:tab/>
      </w:r>
      <w:r>
        <w:rPr>
          <w:rFonts w:ascii="Times New Roman" w:hAnsi="Times New Roman" w:eastAsia="仿宋" w:cs="Times New Roman"/>
          <w:szCs w:val="28"/>
        </w:rPr>
        <w:t>3</w:t>
      </w:r>
      <w:r>
        <w:rPr>
          <w:rFonts w:ascii="Times New Roman" w:hAnsi="Times New Roman" w:eastAsia="仿宋" w:cs="Times New Roman"/>
          <w:szCs w:val="28"/>
        </w:rPr>
        <w:fldChar w:fldCharType="end"/>
      </w:r>
    </w:p>
    <w:p w14:paraId="533E774F">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"_Toc4725" </w:instrText>
      </w:r>
      <w:r>
        <w:fldChar w:fldCharType="separate"/>
      </w:r>
      <w:r>
        <w:rPr>
          <w:rFonts w:ascii="Times New Roman" w:hAnsi="Times New Roman" w:eastAsia="仿宋" w:cs="Times New Roman"/>
          <w:szCs w:val="28"/>
        </w:rPr>
        <w:t>3</w:t>
      </w:r>
      <w:r>
        <w:rPr>
          <w:rFonts w:ascii="Times New Roman" w:hAnsi="仿宋" w:eastAsia="仿宋" w:cs="Times New Roman"/>
          <w:szCs w:val="28"/>
        </w:rPr>
        <w:t>．项目经费来源和使用情况</w:t>
      </w:r>
      <w:r>
        <w:rPr>
          <w:rFonts w:ascii="Times New Roman" w:hAnsi="Times New Roman" w:eastAsia="仿宋" w:cs="Times New Roman"/>
          <w:szCs w:val="28"/>
        </w:rPr>
        <w:tab/>
      </w:r>
      <w:r>
        <w:rPr>
          <w:rFonts w:ascii="Times New Roman" w:hAnsi="Times New Roman" w:eastAsia="仿宋" w:cs="Times New Roman"/>
          <w:szCs w:val="28"/>
        </w:rPr>
        <w:t>4</w:t>
      </w:r>
      <w:r>
        <w:rPr>
          <w:rFonts w:ascii="Times New Roman" w:hAnsi="Times New Roman" w:eastAsia="仿宋" w:cs="Times New Roman"/>
          <w:szCs w:val="28"/>
        </w:rPr>
        <w:fldChar w:fldCharType="end"/>
      </w:r>
    </w:p>
    <w:p w14:paraId="209228CB">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"_Toc26934"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项目绩效目标</w:t>
      </w:r>
      <w:r>
        <w:rPr>
          <w:rFonts w:ascii="Times New Roman" w:hAnsi="Times New Roman" w:eastAsia="仿宋" w:cs="Times New Roman"/>
          <w:smallCaps w:val="0"/>
          <w:szCs w:val="28"/>
        </w:rPr>
        <w:tab/>
      </w:r>
      <w:r>
        <w:rPr>
          <w:rFonts w:ascii="Times New Roman" w:hAnsi="Times New Roman" w:eastAsia="仿宋" w:cs="Times New Roman"/>
          <w:smallCaps w:val="0"/>
          <w:szCs w:val="28"/>
        </w:rPr>
        <w:t>4</w:t>
      </w:r>
      <w:r>
        <w:rPr>
          <w:rFonts w:ascii="Times New Roman" w:hAnsi="Times New Roman" w:eastAsia="仿宋" w:cs="Times New Roman"/>
          <w:smallCaps w:val="0"/>
          <w:szCs w:val="28"/>
        </w:rPr>
        <w:fldChar w:fldCharType="end"/>
      </w:r>
    </w:p>
    <w:p w14:paraId="26B8F844">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"_Toc12551" </w:instrText>
      </w:r>
      <w:r>
        <w:fldChar w:fldCharType="separate"/>
      </w:r>
      <w:r>
        <w:rPr>
          <w:rFonts w:ascii="Times New Roman" w:hAnsi="仿宋" w:eastAsia="仿宋" w:cs="Times New Roman"/>
          <w:caps w:val="0"/>
          <w:szCs w:val="28"/>
        </w:rPr>
        <w:t>二、</w:t>
      </w:r>
      <w:r>
        <w:rPr>
          <w:rFonts w:ascii="Times New Roman" w:hAnsi="Times New Roman" w:eastAsia="仿宋" w:cs="Times New Roman"/>
          <w:caps w:val="0"/>
          <w:szCs w:val="28"/>
        </w:rPr>
        <w:t xml:space="preserve"> </w:t>
      </w:r>
      <w:r>
        <w:rPr>
          <w:rFonts w:ascii="Times New Roman" w:hAnsi="仿宋" w:eastAsia="仿宋" w:cs="Times New Roman"/>
          <w:caps w:val="0"/>
          <w:szCs w:val="28"/>
        </w:rPr>
        <w:t>绩效评价工作情况</w:t>
      </w:r>
      <w:r>
        <w:rPr>
          <w:rFonts w:ascii="Times New Roman" w:hAnsi="Times New Roman" w:eastAsia="仿宋" w:cs="Times New Roman"/>
          <w:caps w:val="0"/>
          <w:szCs w:val="28"/>
        </w:rPr>
        <w:tab/>
      </w:r>
      <w:r>
        <w:rPr>
          <w:rFonts w:ascii="Times New Roman" w:hAnsi="Times New Roman" w:eastAsia="仿宋" w:cs="Times New Roman"/>
          <w:caps w:val="0"/>
          <w:szCs w:val="28"/>
        </w:rPr>
        <w:t>4</w:t>
      </w:r>
      <w:r>
        <w:rPr>
          <w:rFonts w:ascii="Times New Roman" w:hAnsi="Times New Roman" w:eastAsia="仿宋" w:cs="Times New Roman"/>
          <w:caps w:val="0"/>
          <w:szCs w:val="28"/>
        </w:rPr>
        <w:fldChar w:fldCharType="end"/>
      </w:r>
    </w:p>
    <w:p w14:paraId="51F616ED">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"_Toc28806"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绩效评价目的</w:t>
      </w:r>
      <w:r>
        <w:rPr>
          <w:rFonts w:ascii="Times New Roman" w:hAnsi="Times New Roman" w:eastAsia="仿宋" w:cs="Times New Roman"/>
          <w:smallCaps w:val="0"/>
          <w:szCs w:val="28"/>
        </w:rPr>
        <w:tab/>
      </w:r>
      <w:r>
        <w:rPr>
          <w:rFonts w:ascii="Times New Roman" w:hAnsi="Times New Roman" w:eastAsia="仿宋" w:cs="Times New Roman"/>
          <w:smallCaps w:val="0"/>
          <w:szCs w:val="28"/>
        </w:rPr>
        <w:t>4</w:t>
      </w:r>
      <w:r>
        <w:rPr>
          <w:rFonts w:ascii="Times New Roman" w:hAnsi="Times New Roman" w:eastAsia="仿宋" w:cs="Times New Roman"/>
          <w:smallCaps w:val="0"/>
          <w:szCs w:val="28"/>
        </w:rPr>
        <w:fldChar w:fldCharType="end"/>
      </w:r>
    </w:p>
    <w:p w14:paraId="62A11C40">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"_Toc28806"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绩效评价工作过程</w:t>
      </w:r>
      <w:r>
        <w:rPr>
          <w:rFonts w:ascii="Times New Roman" w:hAnsi="Times New Roman" w:eastAsia="仿宋" w:cs="Times New Roman"/>
          <w:smallCaps w:val="0"/>
          <w:szCs w:val="28"/>
        </w:rPr>
        <w:tab/>
      </w:r>
      <w:r>
        <w:rPr>
          <w:rFonts w:ascii="Times New Roman" w:hAnsi="Times New Roman" w:eastAsia="仿宋" w:cs="Times New Roman"/>
          <w:smallCaps w:val="0"/>
          <w:szCs w:val="28"/>
        </w:rPr>
        <w:t>5</w:t>
      </w:r>
      <w:r>
        <w:rPr>
          <w:rFonts w:ascii="Times New Roman" w:hAnsi="Times New Roman" w:eastAsia="仿宋" w:cs="Times New Roman"/>
          <w:smallCaps w:val="0"/>
          <w:szCs w:val="28"/>
        </w:rPr>
        <w:fldChar w:fldCharType="end"/>
      </w:r>
    </w:p>
    <w:p w14:paraId="575AF53E">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"_Toc30203" </w:instrText>
      </w:r>
      <w:r>
        <w:fldChar w:fldCharType="separate"/>
      </w:r>
      <w:r>
        <w:rPr>
          <w:rFonts w:ascii="Times New Roman" w:hAnsi="Times New Roman" w:eastAsia="仿宋" w:cs="Times New Roman"/>
          <w:szCs w:val="28"/>
        </w:rPr>
        <w:t>1</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前期准备工作内容</w:t>
      </w:r>
      <w:r>
        <w:rPr>
          <w:rFonts w:ascii="Times New Roman" w:hAnsi="Times New Roman" w:eastAsia="仿宋" w:cs="Times New Roman"/>
          <w:szCs w:val="28"/>
        </w:rPr>
        <w:tab/>
      </w:r>
      <w:r>
        <w:rPr>
          <w:rFonts w:ascii="Times New Roman" w:hAnsi="Times New Roman" w:eastAsia="仿宋" w:cs="Times New Roman"/>
          <w:szCs w:val="28"/>
        </w:rPr>
        <w:t>5</w:t>
      </w:r>
      <w:r>
        <w:rPr>
          <w:rFonts w:ascii="Times New Roman" w:hAnsi="Times New Roman" w:eastAsia="仿宋" w:cs="Times New Roman"/>
          <w:szCs w:val="28"/>
        </w:rPr>
        <w:fldChar w:fldCharType="end"/>
      </w:r>
    </w:p>
    <w:p w14:paraId="306C78AA">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"_Toc30387" </w:instrText>
      </w:r>
      <w:r>
        <w:fldChar w:fldCharType="separate"/>
      </w:r>
      <w:r>
        <w:rPr>
          <w:rFonts w:ascii="Times New Roman" w:hAnsi="Times New Roman" w:eastAsia="仿宋" w:cs="Times New Roman"/>
          <w:szCs w:val="28"/>
        </w:rPr>
        <w:t>2</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组织实施过程内容</w:t>
      </w:r>
      <w:r>
        <w:rPr>
          <w:rFonts w:ascii="Times New Roman" w:hAnsi="Times New Roman" w:eastAsia="仿宋" w:cs="Times New Roman"/>
          <w:szCs w:val="28"/>
        </w:rPr>
        <w:tab/>
      </w:r>
      <w:r>
        <w:rPr>
          <w:rFonts w:ascii="Times New Roman" w:hAnsi="Times New Roman" w:eastAsia="仿宋" w:cs="Times New Roman"/>
          <w:szCs w:val="28"/>
        </w:rPr>
        <w:t>6</w:t>
      </w:r>
      <w:r>
        <w:rPr>
          <w:rFonts w:ascii="Times New Roman" w:hAnsi="Times New Roman" w:eastAsia="仿宋" w:cs="Times New Roman"/>
          <w:szCs w:val="28"/>
        </w:rPr>
        <w:fldChar w:fldCharType="end"/>
      </w:r>
    </w:p>
    <w:p w14:paraId="7333490B">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"_Toc27249" </w:instrText>
      </w:r>
      <w:r>
        <w:fldChar w:fldCharType="separate"/>
      </w:r>
      <w:r>
        <w:rPr>
          <w:rFonts w:ascii="Times New Roman" w:hAnsi="Times New Roman" w:eastAsia="仿宋" w:cs="Times New Roman"/>
          <w:szCs w:val="28"/>
        </w:rPr>
        <w:t>3</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分析评价工作内容</w:t>
      </w:r>
      <w:r>
        <w:rPr>
          <w:rFonts w:ascii="Times New Roman" w:hAnsi="Times New Roman" w:eastAsia="仿宋" w:cs="Times New Roman"/>
          <w:szCs w:val="28"/>
        </w:rPr>
        <w:tab/>
      </w:r>
      <w:r>
        <w:rPr>
          <w:rFonts w:ascii="Times New Roman" w:hAnsi="Times New Roman" w:eastAsia="仿宋" w:cs="Times New Roman"/>
          <w:szCs w:val="28"/>
        </w:rPr>
        <w:t>6</w:t>
      </w:r>
      <w:r>
        <w:rPr>
          <w:rFonts w:ascii="Times New Roman" w:hAnsi="Times New Roman" w:eastAsia="仿宋" w:cs="Times New Roman"/>
          <w:szCs w:val="28"/>
        </w:rPr>
        <w:fldChar w:fldCharType="end"/>
      </w:r>
    </w:p>
    <w:p w14:paraId="5FB809DC">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"_Toc29172" </w:instrText>
      </w:r>
      <w:r>
        <w:fldChar w:fldCharType="separate"/>
      </w:r>
      <w:r>
        <w:rPr>
          <w:rFonts w:ascii="Times New Roman" w:hAnsi="Times New Roman" w:eastAsia="仿宋" w:cs="Times New Roman"/>
          <w:szCs w:val="28"/>
        </w:rPr>
        <w:t>4</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归档</w:t>
      </w:r>
      <w:r>
        <w:rPr>
          <w:rFonts w:ascii="Times New Roman" w:hAnsi="Times New Roman" w:eastAsia="仿宋" w:cs="Times New Roman"/>
          <w:szCs w:val="28"/>
        </w:rPr>
        <w:tab/>
      </w:r>
      <w:r>
        <w:rPr>
          <w:rFonts w:ascii="Times New Roman" w:hAnsi="Times New Roman" w:eastAsia="仿宋" w:cs="Times New Roman"/>
          <w:szCs w:val="28"/>
        </w:rPr>
        <w:t>7</w:t>
      </w:r>
      <w:r>
        <w:rPr>
          <w:rFonts w:ascii="Times New Roman" w:hAnsi="Times New Roman" w:eastAsia="仿宋" w:cs="Times New Roman"/>
          <w:szCs w:val="28"/>
        </w:rPr>
        <w:fldChar w:fldCharType="end"/>
      </w:r>
    </w:p>
    <w:p w14:paraId="5976C8B6">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"_Toc9699" </w:instrText>
      </w:r>
      <w:r>
        <w:fldChar w:fldCharType="separate"/>
      </w:r>
      <w:r>
        <w:rPr>
          <w:rFonts w:ascii="Times New Roman" w:hAnsi="仿宋" w:eastAsia="仿宋" w:cs="Times New Roman"/>
          <w:smallCaps w:val="0"/>
          <w:szCs w:val="28"/>
        </w:rPr>
        <w:t>（三）</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绩效评价框架</w:t>
      </w:r>
      <w:r>
        <w:rPr>
          <w:rFonts w:ascii="Times New Roman" w:hAnsi="Times New Roman" w:eastAsia="仿宋" w:cs="Times New Roman"/>
          <w:smallCaps w:val="0"/>
          <w:szCs w:val="28"/>
        </w:rPr>
        <w:tab/>
      </w:r>
      <w:r>
        <w:rPr>
          <w:rFonts w:ascii="Times New Roman" w:hAnsi="Times New Roman" w:eastAsia="仿宋" w:cs="Times New Roman"/>
          <w:smallCaps w:val="0"/>
          <w:szCs w:val="28"/>
        </w:rPr>
        <w:t>7</w:t>
      </w:r>
      <w:r>
        <w:rPr>
          <w:rFonts w:ascii="Times New Roman" w:hAnsi="Times New Roman" w:eastAsia="仿宋" w:cs="Times New Roman"/>
          <w:smallCaps w:val="0"/>
          <w:szCs w:val="28"/>
        </w:rPr>
        <w:fldChar w:fldCharType="end"/>
      </w:r>
    </w:p>
    <w:p w14:paraId="60B7283F">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"_Toc4763" </w:instrText>
      </w:r>
      <w:r>
        <w:fldChar w:fldCharType="separate"/>
      </w:r>
      <w:r>
        <w:rPr>
          <w:rFonts w:ascii="Times New Roman" w:hAnsi="Times New Roman" w:eastAsia="仿宋" w:cs="Times New Roman"/>
          <w:szCs w:val="28"/>
        </w:rPr>
        <w:t>1</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评价原则</w:t>
      </w:r>
      <w:r>
        <w:rPr>
          <w:rFonts w:ascii="Times New Roman" w:hAnsi="Times New Roman" w:eastAsia="仿宋" w:cs="Times New Roman"/>
          <w:szCs w:val="28"/>
        </w:rPr>
        <w:tab/>
      </w:r>
      <w:r>
        <w:rPr>
          <w:rFonts w:ascii="Times New Roman" w:hAnsi="Times New Roman" w:eastAsia="仿宋" w:cs="Times New Roman"/>
          <w:szCs w:val="28"/>
        </w:rPr>
        <w:t>7</w:t>
      </w:r>
      <w:r>
        <w:rPr>
          <w:rFonts w:ascii="Times New Roman" w:hAnsi="Times New Roman" w:eastAsia="仿宋" w:cs="Times New Roman"/>
          <w:szCs w:val="28"/>
        </w:rPr>
        <w:fldChar w:fldCharType="end"/>
      </w:r>
    </w:p>
    <w:p w14:paraId="2489BA59">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"_Toc15127" </w:instrText>
      </w:r>
      <w:r>
        <w:fldChar w:fldCharType="separate"/>
      </w:r>
      <w:r>
        <w:rPr>
          <w:rFonts w:ascii="Times New Roman" w:hAnsi="Times New Roman" w:eastAsia="仿宋" w:cs="Times New Roman"/>
          <w:szCs w:val="28"/>
        </w:rPr>
        <w:t>2</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评价依据</w:t>
      </w:r>
      <w:r>
        <w:rPr>
          <w:rFonts w:ascii="Times New Roman" w:hAnsi="Times New Roman" w:eastAsia="仿宋" w:cs="Times New Roman"/>
          <w:szCs w:val="28"/>
        </w:rPr>
        <w:tab/>
      </w:r>
      <w:r>
        <w:rPr>
          <w:rFonts w:ascii="Times New Roman" w:hAnsi="Times New Roman" w:eastAsia="仿宋" w:cs="Times New Roman"/>
          <w:szCs w:val="28"/>
        </w:rPr>
        <w:t>8</w:t>
      </w:r>
      <w:r>
        <w:rPr>
          <w:rFonts w:ascii="Times New Roman" w:hAnsi="Times New Roman" w:eastAsia="仿宋" w:cs="Times New Roman"/>
          <w:szCs w:val="28"/>
        </w:rPr>
        <w:fldChar w:fldCharType="end"/>
      </w:r>
    </w:p>
    <w:p w14:paraId="46C9B8A0">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"_Toc7466" </w:instrText>
      </w:r>
      <w:r>
        <w:fldChar w:fldCharType="separate"/>
      </w:r>
      <w:r>
        <w:rPr>
          <w:rFonts w:ascii="Times New Roman" w:hAnsi="Times New Roman" w:eastAsia="仿宋" w:cs="Times New Roman"/>
          <w:szCs w:val="28"/>
        </w:rPr>
        <w:t>3</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评价指标体系</w:t>
      </w:r>
      <w:r>
        <w:rPr>
          <w:rFonts w:ascii="Times New Roman" w:hAnsi="Times New Roman" w:eastAsia="仿宋" w:cs="Times New Roman"/>
          <w:szCs w:val="28"/>
        </w:rPr>
        <w:tab/>
      </w:r>
      <w:r>
        <w:rPr>
          <w:rFonts w:ascii="Times New Roman" w:hAnsi="Times New Roman" w:eastAsia="仿宋" w:cs="Times New Roman"/>
          <w:szCs w:val="28"/>
        </w:rPr>
        <w:t>9</w:t>
      </w:r>
      <w:r>
        <w:rPr>
          <w:rFonts w:ascii="Times New Roman" w:hAnsi="Times New Roman" w:eastAsia="仿宋" w:cs="Times New Roman"/>
          <w:szCs w:val="28"/>
        </w:rPr>
        <w:fldChar w:fldCharType="end"/>
      </w:r>
    </w:p>
    <w:p w14:paraId="1477F9CC">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"_Toc11790" </w:instrText>
      </w:r>
      <w:r>
        <w:fldChar w:fldCharType="separate"/>
      </w:r>
      <w:r>
        <w:rPr>
          <w:rFonts w:ascii="Times New Roman" w:hAnsi="Times New Roman" w:eastAsia="仿宋" w:cs="Times New Roman"/>
          <w:szCs w:val="28"/>
        </w:rPr>
        <w:t>4</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评价方法</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1</w:t>
      </w:r>
    </w:p>
    <w:p w14:paraId="52E82A07">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"_Toc14590" </w:instrText>
      </w:r>
      <w:r>
        <w:fldChar w:fldCharType="separate"/>
      </w:r>
      <w:r>
        <w:rPr>
          <w:rFonts w:ascii="Times New Roman" w:hAnsi="仿宋" w:eastAsia="仿宋" w:cs="Times New Roman"/>
          <w:smallCaps w:val="0"/>
          <w:szCs w:val="28"/>
        </w:rPr>
        <w:t>（四）</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证据收集方式</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2</w:t>
      </w:r>
    </w:p>
    <w:p w14:paraId="0CD6F9DB">
      <w:pPr>
        <w:pStyle w:val="8"/>
        <w:tabs>
          <w:tab w:val="right" w:leader="dot" w:pos="8703"/>
        </w:tabs>
        <w:spacing w:before="0" w:after="0" w:line="420" w:lineRule="exact"/>
        <w:rPr>
          <w:rFonts w:ascii="Times New Roman" w:hAnsi="Times New Roman" w:eastAsia="仿宋" w:cs="Times New Roman"/>
          <w:b w:val="0"/>
          <w:bCs w:val="0"/>
          <w:caps w:val="0"/>
          <w:szCs w:val="28"/>
        </w:rPr>
      </w:pPr>
      <w:r>
        <w:fldChar w:fldCharType="begin"/>
      </w:r>
      <w:r>
        <w:instrText xml:space="preserve"> HYPERLINK \l "_Toc30344" </w:instrText>
      </w:r>
      <w:r>
        <w:fldChar w:fldCharType="separate"/>
      </w:r>
      <w:r>
        <w:rPr>
          <w:rFonts w:ascii="Times New Roman" w:hAnsi="仿宋" w:eastAsia="仿宋" w:cs="Times New Roman"/>
          <w:caps w:val="0"/>
          <w:szCs w:val="28"/>
        </w:rPr>
        <w:t>三、</w:t>
      </w:r>
      <w:r>
        <w:rPr>
          <w:rFonts w:ascii="Times New Roman" w:hAnsi="Times New Roman" w:eastAsia="仿宋" w:cs="Times New Roman"/>
          <w:caps w:val="0"/>
          <w:szCs w:val="28"/>
        </w:rPr>
        <w:t xml:space="preserve"> </w:t>
      </w:r>
      <w:r>
        <w:rPr>
          <w:rFonts w:ascii="Times New Roman" w:hAnsi="仿宋" w:eastAsia="仿宋" w:cs="Times New Roman"/>
          <w:caps w:val="0"/>
          <w:szCs w:val="28"/>
        </w:rPr>
        <w:t>绩效评价分析（评价得分</w:t>
      </w:r>
      <w:r>
        <w:rPr>
          <w:rFonts w:ascii="Times New Roman" w:hAnsi="Times New Roman" w:eastAsia="仿宋" w:cs="Times New Roman"/>
          <w:caps w:val="0"/>
          <w:szCs w:val="28"/>
        </w:rPr>
        <w:t>91</w:t>
      </w:r>
      <w:r>
        <w:rPr>
          <w:rFonts w:ascii="Times New Roman" w:hAnsi="仿宋" w:eastAsia="仿宋" w:cs="Times New Roman"/>
          <w:caps w:val="0"/>
          <w:szCs w:val="28"/>
        </w:rPr>
        <w:t>分）</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2</w:t>
      </w:r>
    </w:p>
    <w:p w14:paraId="11A70445">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"_Toc7496"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预算执行情况（评价得分</w:t>
      </w:r>
      <w:r>
        <w:rPr>
          <w:rFonts w:ascii="Times New Roman" w:hAnsi="Times New Roman" w:eastAsia="仿宋" w:cs="Times New Roman"/>
          <w:smallCaps w:val="0"/>
          <w:szCs w:val="28"/>
        </w:rPr>
        <w:t>16</w:t>
      </w:r>
      <w:r>
        <w:rPr>
          <w:rFonts w:ascii="Times New Roman" w:hAnsi="仿宋" w:eastAsia="仿宋" w:cs="Times New Roman"/>
          <w:smallCaps w:val="0"/>
          <w:szCs w:val="28"/>
        </w:rPr>
        <w:t>分）</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2</w:t>
      </w:r>
    </w:p>
    <w:p w14:paraId="16810169">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"_Toc23458" </w:instrText>
      </w:r>
      <w:r>
        <w:fldChar w:fldCharType="separate"/>
      </w:r>
      <w:r>
        <w:rPr>
          <w:rFonts w:ascii="Times New Roman" w:hAnsi="Times New Roman" w:eastAsia="仿宋" w:cs="Times New Roman"/>
          <w:szCs w:val="28"/>
        </w:rPr>
        <w:t>1</w:t>
      </w:r>
      <w:r>
        <w:rPr>
          <w:rFonts w:ascii="Times New Roman" w:hAnsi="仿宋" w:eastAsia="仿宋" w:cs="Times New Roman"/>
          <w:szCs w:val="28"/>
        </w:rPr>
        <w:t>．</w:t>
      </w:r>
      <w:r>
        <w:rPr>
          <w:rFonts w:ascii="Times New Roman" w:hAnsi="Times New Roman" w:eastAsia="仿宋" w:cs="Times New Roman"/>
          <w:szCs w:val="28"/>
        </w:rPr>
        <w:t xml:space="preserve"> </w:t>
      </w:r>
      <w:r>
        <w:rPr>
          <w:rFonts w:ascii="Times New Roman" w:hAnsi="仿宋" w:eastAsia="仿宋" w:cs="Times New Roman"/>
          <w:szCs w:val="28"/>
        </w:rPr>
        <w:t>项目立项（评价得分</w:t>
      </w:r>
      <w:r>
        <w:rPr>
          <w:rFonts w:ascii="Times New Roman" w:hAnsi="Times New Roman" w:eastAsia="仿宋" w:cs="Times New Roman"/>
          <w:szCs w:val="28"/>
        </w:rPr>
        <w:t>9</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2</w:t>
      </w:r>
    </w:p>
    <w:p w14:paraId="01035BD5">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"_Toc22195" </w:instrText>
      </w:r>
      <w:r>
        <w:fldChar w:fldCharType="separate"/>
      </w:r>
      <w:r>
        <w:rPr>
          <w:rFonts w:ascii="Times New Roman" w:hAnsi="Times New Roman" w:eastAsia="仿宋" w:cs="Times New Roman"/>
          <w:szCs w:val="28"/>
        </w:rPr>
        <w:t xml:space="preserve">2.  </w:t>
      </w:r>
      <w:r>
        <w:rPr>
          <w:rFonts w:ascii="Times New Roman" w:hAnsi="仿宋" w:eastAsia="仿宋" w:cs="Times New Roman"/>
          <w:szCs w:val="28"/>
        </w:rPr>
        <w:t>资金落实（评价得分</w:t>
      </w:r>
      <w:r>
        <w:rPr>
          <w:rFonts w:ascii="Times New Roman" w:hAnsi="Times New Roman" w:eastAsia="仿宋" w:cs="Times New Roman"/>
          <w:szCs w:val="28"/>
        </w:rPr>
        <w:t>4</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3</w:t>
      </w:r>
    </w:p>
    <w:p w14:paraId="4715A654">
      <w:pPr>
        <w:pStyle w:val="9"/>
        <w:tabs>
          <w:tab w:val="right" w:leader="dot" w:pos="8703"/>
          <w:tab w:val="clear" w:pos="8693"/>
        </w:tabs>
        <w:spacing w:line="420" w:lineRule="exact"/>
        <w:rPr>
          <w:rFonts w:ascii="Times New Roman" w:hAnsi="Times New Roman" w:eastAsia="仿宋" w:cs="Times New Roman"/>
        </w:rPr>
      </w:pPr>
      <w:r>
        <w:fldChar w:fldCharType="begin"/>
      </w:r>
      <w:r>
        <w:instrText xml:space="preserve"> HYPERLINK \l "_Toc22195" </w:instrText>
      </w:r>
      <w:r>
        <w:fldChar w:fldCharType="separate"/>
      </w:r>
      <w:r>
        <w:rPr>
          <w:rFonts w:ascii="Times New Roman" w:hAnsi="Times New Roman" w:eastAsia="仿宋" w:cs="Times New Roman"/>
          <w:szCs w:val="28"/>
        </w:rPr>
        <w:t xml:space="preserve">3.  </w:t>
      </w:r>
      <w:r>
        <w:rPr>
          <w:rFonts w:ascii="Times New Roman" w:hAnsi="仿宋" w:eastAsia="仿宋" w:cs="Times New Roman"/>
          <w:szCs w:val="28"/>
        </w:rPr>
        <w:t>财务管理（评价得分</w:t>
      </w:r>
      <w:r>
        <w:rPr>
          <w:rFonts w:ascii="Times New Roman" w:hAnsi="Times New Roman" w:eastAsia="仿宋" w:cs="Times New Roman"/>
          <w:szCs w:val="28"/>
        </w:rPr>
        <w:t>3</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3</w:t>
      </w:r>
    </w:p>
    <w:p w14:paraId="1735EA9E">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"_Toc6483"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产出指标（评价得分</w:t>
      </w:r>
      <w:r>
        <w:rPr>
          <w:rFonts w:ascii="Times New Roman" w:hAnsi="Times New Roman" w:eastAsia="仿宋" w:cs="Times New Roman"/>
          <w:smallCaps w:val="0"/>
          <w:szCs w:val="28"/>
        </w:rPr>
        <w:t>35</w:t>
      </w:r>
      <w:r>
        <w:rPr>
          <w:rFonts w:ascii="Times New Roman" w:hAnsi="仿宋" w:eastAsia="仿宋" w:cs="Times New Roman"/>
          <w:smallCaps w:val="0"/>
          <w:szCs w:val="28"/>
        </w:rPr>
        <w:t>分）</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3</w:t>
      </w:r>
    </w:p>
    <w:p w14:paraId="36E11CDE">
      <w:pPr>
        <w:pStyle w:val="9"/>
        <w:tabs>
          <w:tab w:val="right" w:leader="dot" w:pos="8703"/>
          <w:tab w:val="clear" w:pos="8693"/>
        </w:tabs>
        <w:spacing w:line="420" w:lineRule="exact"/>
        <w:rPr>
          <w:rFonts w:ascii="Times New Roman" w:hAnsi="Times New Roman" w:eastAsia="仿宋" w:cs="Times New Roman"/>
          <w:szCs w:val="28"/>
        </w:rPr>
      </w:pPr>
      <w:r>
        <w:fldChar w:fldCharType="begin"/>
      </w:r>
      <w:r>
        <w:instrText xml:space="preserve"> HYPERLINK \l "_Toc27932" </w:instrText>
      </w:r>
      <w:r>
        <w:fldChar w:fldCharType="separate"/>
      </w:r>
      <w:r>
        <w:rPr>
          <w:rFonts w:ascii="Times New Roman" w:hAnsi="仿宋" w:eastAsia="仿宋" w:cs="Times New Roman"/>
          <w:szCs w:val="28"/>
        </w:rPr>
        <w:t>项目实际完成率（评价得分</w:t>
      </w:r>
      <w:r>
        <w:rPr>
          <w:rFonts w:ascii="Times New Roman" w:hAnsi="Times New Roman" w:eastAsia="仿宋" w:cs="Times New Roman"/>
          <w:szCs w:val="28"/>
        </w:rPr>
        <w:t>35</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3</w:t>
      </w:r>
    </w:p>
    <w:p w14:paraId="7E28D35A">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"_Toc13038" </w:instrText>
      </w:r>
      <w:r>
        <w:fldChar w:fldCharType="separate"/>
      </w:r>
      <w:r>
        <w:rPr>
          <w:rFonts w:ascii="Times New Roman" w:hAnsi="仿宋" w:eastAsia="仿宋" w:cs="Times New Roman"/>
          <w:smallCaps w:val="0"/>
          <w:szCs w:val="28"/>
        </w:rPr>
        <w:t>（三）</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效果指标（评价得分</w:t>
      </w:r>
      <w:r>
        <w:rPr>
          <w:rFonts w:ascii="Times New Roman" w:hAnsi="Times New Roman" w:eastAsia="仿宋" w:cs="Times New Roman"/>
          <w:smallCaps w:val="0"/>
          <w:szCs w:val="28"/>
        </w:rPr>
        <w:t>40</w:t>
      </w:r>
      <w:r>
        <w:rPr>
          <w:rFonts w:ascii="Times New Roman" w:hAnsi="仿宋" w:eastAsia="仿宋" w:cs="Times New Roman"/>
          <w:smallCaps w:val="0"/>
          <w:szCs w:val="28"/>
        </w:rPr>
        <w:t>分）</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4</w:t>
      </w:r>
    </w:p>
    <w:p w14:paraId="0AD75E37">
      <w:pPr>
        <w:pStyle w:val="9"/>
        <w:spacing w:line="420" w:lineRule="exact"/>
        <w:rPr>
          <w:rFonts w:ascii="Times New Roman" w:hAnsi="Times New Roman" w:eastAsia="仿宋" w:cs="Times New Roman"/>
          <w:szCs w:val="28"/>
        </w:rPr>
        <w:sectPr>
          <w:headerReference r:id="rId3" w:type="default"/>
          <w:footerReference r:id="rId4" w:type="default"/>
          <w:pgSz w:w="11906" w:h="16838"/>
          <w:pgMar w:top="1440" w:right="1406" w:bottom="1089" w:left="1800" w:header="850" w:footer="850" w:gutter="0"/>
          <w:pgNumType w:start="1"/>
          <w:cols w:space="0" w:num="1"/>
          <w:docGrid w:type="lines" w:linePitch="408" w:charSpace="0"/>
        </w:sectPr>
      </w:pPr>
      <w:r>
        <w:fldChar w:fldCharType="begin"/>
      </w:r>
      <w:r>
        <w:instrText xml:space="preserve"> HYPERLINK \l "_Toc6203" </w:instrText>
      </w:r>
      <w:r>
        <w:fldChar w:fldCharType="separate"/>
      </w:r>
      <w:r>
        <w:rPr>
          <w:rFonts w:ascii="Times New Roman" w:hAnsi="Times New Roman" w:eastAsia="仿宋" w:cs="Times New Roman"/>
          <w:szCs w:val="28"/>
        </w:rPr>
        <w:t xml:space="preserve">1.  </w:t>
      </w:r>
      <w:r>
        <w:rPr>
          <w:rFonts w:ascii="Times New Roman" w:hAnsi="仿宋" w:eastAsia="仿宋" w:cs="Times New Roman"/>
          <w:szCs w:val="28"/>
        </w:rPr>
        <w:t>社会效益（评价得分</w:t>
      </w:r>
      <w:r>
        <w:rPr>
          <w:rFonts w:ascii="Times New Roman" w:hAnsi="Times New Roman" w:eastAsia="仿宋" w:cs="Times New Roman"/>
          <w:szCs w:val="28"/>
        </w:rPr>
        <w:t>15</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4</w:t>
      </w:r>
    </w:p>
    <w:p w14:paraId="7E82F482">
      <w:pPr>
        <w:pStyle w:val="9"/>
        <w:tabs>
          <w:tab w:val="right" w:leader="dot" w:pos="8703"/>
          <w:tab w:val="clear" w:pos="8693"/>
        </w:tabs>
        <w:spacing w:line="420" w:lineRule="exact"/>
        <w:ind w:left="903" w:leftChars="430" w:firstLine="280" w:firstLineChars="100"/>
        <w:rPr>
          <w:rFonts w:ascii="Times New Roman" w:hAnsi="Times New Roman" w:eastAsia="仿宋" w:cs="Times New Roman"/>
          <w:szCs w:val="28"/>
        </w:rPr>
      </w:pPr>
      <w:r>
        <w:fldChar w:fldCharType="begin"/>
      </w:r>
      <w:r>
        <w:instrText xml:space="preserve"> HYPERLINK \l "_Toc6203" </w:instrText>
      </w:r>
      <w:r>
        <w:fldChar w:fldCharType="separate"/>
      </w:r>
      <w:r>
        <w:rPr>
          <w:rFonts w:ascii="Times New Roman" w:hAnsi="Times New Roman" w:eastAsia="仿宋" w:cs="Times New Roman"/>
          <w:szCs w:val="28"/>
        </w:rPr>
        <w:t xml:space="preserve">2.  </w:t>
      </w:r>
      <w:r>
        <w:rPr>
          <w:rFonts w:ascii="Times New Roman" w:hAnsi="仿宋" w:eastAsia="仿宋" w:cs="Times New Roman"/>
          <w:szCs w:val="28"/>
        </w:rPr>
        <w:t>环境效益（评价得分</w:t>
      </w:r>
      <w:r>
        <w:rPr>
          <w:rFonts w:ascii="Times New Roman" w:hAnsi="Times New Roman" w:eastAsia="仿宋" w:cs="Times New Roman"/>
          <w:szCs w:val="28"/>
        </w:rPr>
        <w:t>15</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4</w:t>
      </w:r>
    </w:p>
    <w:p w14:paraId="214AEFC8">
      <w:pPr>
        <w:pStyle w:val="9"/>
        <w:tabs>
          <w:tab w:val="right" w:leader="dot" w:pos="8703"/>
          <w:tab w:val="clear" w:pos="8693"/>
        </w:tabs>
        <w:spacing w:line="420" w:lineRule="exact"/>
        <w:ind w:left="903" w:leftChars="430" w:firstLine="280" w:firstLineChars="100"/>
        <w:rPr>
          <w:rFonts w:ascii="Times New Roman" w:hAnsi="Times New Roman" w:eastAsia="仿宋" w:cs="Times New Roman"/>
          <w:szCs w:val="28"/>
        </w:rPr>
      </w:pPr>
      <w:r>
        <w:fldChar w:fldCharType="begin"/>
      </w:r>
      <w:r>
        <w:instrText xml:space="preserve"> HYPERLINK \l "_Toc531" </w:instrText>
      </w:r>
      <w:r>
        <w:fldChar w:fldCharType="separate"/>
      </w:r>
      <w:r>
        <w:rPr>
          <w:rFonts w:ascii="Times New Roman" w:hAnsi="Times New Roman" w:eastAsia="仿宋" w:cs="Times New Roman"/>
          <w:szCs w:val="28"/>
        </w:rPr>
        <w:t xml:space="preserve">3.  </w:t>
      </w:r>
      <w:r>
        <w:rPr>
          <w:rFonts w:ascii="Times New Roman" w:hAnsi="仿宋" w:eastAsia="仿宋" w:cs="Times New Roman"/>
          <w:szCs w:val="28"/>
        </w:rPr>
        <w:t>可持续发展影响（评价得分</w:t>
      </w:r>
      <w:r>
        <w:rPr>
          <w:rFonts w:ascii="Times New Roman" w:hAnsi="Times New Roman" w:eastAsia="仿宋" w:cs="Times New Roman"/>
          <w:szCs w:val="28"/>
        </w:rPr>
        <w:t>10</w:t>
      </w:r>
      <w:r>
        <w:rPr>
          <w:rFonts w:ascii="Times New Roman" w:hAnsi="仿宋" w:eastAsia="仿宋" w:cs="Times New Roman"/>
          <w:szCs w:val="28"/>
        </w:rPr>
        <w:t>分）</w:t>
      </w:r>
      <w:r>
        <w:rPr>
          <w:rFonts w:ascii="Times New Roman" w:hAnsi="Times New Roman" w:eastAsia="仿宋" w:cs="Times New Roman"/>
          <w:szCs w:val="28"/>
        </w:rPr>
        <w:tab/>
      </w:r>
      <w:r>
        <w:rPr>
          <w:rFonts w:ascii="Times New Roman" w:hAnsi="Times New Roman" w:eastAsia="仿宋" w:cs="Times New Roman"/>
          <w:szCs w:val="28"/>
        </w:rPr>
        <w:t>1</w:t>
      </w:r>
      <w:r>
        <w:rPr>
          <w:rFonts w:ascii="Times New Roman" w:hAnsi="Times New Roman" w:eastAsia="仿宋" w:cs="Times New Roman"/>
          <w:szCs w:val="28"/>
        </w:rPr>
        <w:fldChar w:fldCharType="end"/>
      </w:r>
      <w:r>
        <w:rPr>
          <w:rFonts w:ascii="Times New Roman" w:hAnsi="Times New Roman" w:eastAsia="仿宋" w:cs="Times New Roman"/>
          <w:szCs w:val="28"/>
        </w:rPr>
        <w:t>4</w:t>
      </w:r>
    </w:p>
    <w:p w14:paraId="6A115591">
      <w:pPr>
        <w:pStyle w:val="8"/>
        <w:tabs>
          <w:tab w:val="right" w:leader="dot" w:pos="8703"/>
        </w:tabs>
        <w:spacing w:before="0" w:after="0" w:line="420" w:lineRule="exact"/>
        <w:rPr>
          <w:rFonts w:ascii="Times New Roman" w:hAnsi="Times New Roman" w:eastAsia="仿宋" w:cs="Times New Roman"/>
          <w:caps w:val="0"/>
          <w:szCs w:val="28"/>
        </w:rPr>
      </w:pPr>
      <w:r>
        <w:fldChar w:fldCharType="begin"/>
      </w:r>
      <w:r>
        <w:instrText xml:space="preserve"> HYPERLINK \l "_Toc18387" </w:instrText>
      </w:r>
      <w:r>
        <w:fldChar w:fldCharType="separate"/>
      </w:r>
      <w:r>
        <w:rPr>
          <w:rFonts w:ascii="Times New Roman" w:hAnsi="仿宋" w:eastAsia="仿宋" w:cs="Times New Roman"/>
          <w:caps w:val="0"/>
          <w:szCs w:val="28"/>
        </w:rPr>
        <w:t>四、评价结论</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4</w:t>
      </w:r>
    </w:p>
    <w:p w14:paraId="04DB5F41">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"_Toc24385"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综合评价结论</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4</w:t>
      </w:r>
    </w:p>
    <w:p w14:paraId="4188AC0C">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"_Toc28964"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综合评分结果</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5</w:t>
      </w:r>
    </w:p>
    <w:p w14:paraId="17030E07">
      <w:pPr>
        <w:pStyle w:val="8"/>
        <w:tabs>
          <w:tab w:val="right" w:leader="dot" w:pos="8703"/>
        </w:tabs>
        <w:spacing w:before="0" w:after="0" w:line="420" w:lineRule="exact"/>
        <w:rPr>
          <w:rFonts w:ascii="Times New Roman" w:hAnsi="Times New Roman" w:eastAsia="仿宋" w:cs="Times New Roman"/>
          <w:caps w:val="0"/>
          <w:szCs w:val="28"/>
        </w:rPr>
      </w:pPr>
      <w:r>
        <w:fldChar w:fldCharType="begin"/>
      </w:r>
      <w:r>
        <w:instrText xml:space="preserve"> HYPERLINK \l "_Toc3299" </w:instrText>
      </w:r>
      <w:r>
        <w:fldChar w:fldCharType="separate"/>
      </w:r>
      <w:r>
        <w:rPr>
          <w:rFonts w:ascii="Times New Roman" w:hAnsi="仿宋" w:eastAsia="仿宋" w:cs="Times New Roman"/>
          <w:caps w:val="0"/>
          <w:szCs w:val="28"/>
        </w:rPr>
        <w:t>五、主要经验及做法、存在的问题和建议</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5</w:t>
      </w:r>
    </w:p>
    <w:p w14:paraId="231A4B58">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"_Toc30626"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主要经验及做法</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5</w:t>
      </w:r>
    </w:p>
    <w:p w14:paraId="3AF678E6">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"_Toc9953"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存在的问题</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43D131CD">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"_Toc3678" </w:instrText>
      </w:r>
      <w:r>
        <w:fldChar w:fldCharType="separate"/>
      </w:r>
      <w:r>
        <w:rPr>
          <w:rFonts w:ascii="Times New Roman" w:hAnsi="仿宋" w:eastAsia="仿宋" w:cs="Times New Roman"/>
          <w:smallCaps w:val="0"/>
          <w:szCs w:val="28"/>
        </w:rPr>
        <w:t>（三）</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建议</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2CFA7E6B">
      <w:pPr>
        <w:pStyle w:val="8"/>
        <w:tabs>
          <w:tab w:val="right" w:leader="dot" w:pos="8703"/>
        </w:tabs>
        <w:spacing w:before="0" w:after="0" w:line="420" w:lineRule="exact"/>
        <w:rPr>
          <w:rFonts w:ascii="Times New Roman" w:hAnsi="Times New Roman" w:eastAsia="仿宋" w:cs="Times New Roman"/>
          <w:caps w:val="0"/>
          <w:szCs w:val="28"/>
        </w:rPr>
      </w:pPr>
      <w:r>
        <w:fldChar w:fldCharType="begin"/>
      </w:r>
      <w:r>
        <w:instrText xml:space="preserve"> HYPERLINK \l "_Toc27950" </w:instrText>
      </w:r>
      <w:r>
        <w:fldChar w:fldCharType="separate"/>
      </w:r>
      <w:r>
        <w:rPr>
          <w:rFonts w:ascii="Times New Roman" w:hAnsi="仿宋" w:eastAsia="仿宋" w:cs="Times New Roman"/>
          <w:caps w:val="0"/>
          <w:szCs w:val="28"/>
        </w:rPr>
        <w:t>六、其他说明事项</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6</w:t>
      </w:r>
    </w:p>
    <w:p w14:paraId="70A336E4">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关于评价责任的说明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74338557">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关于影响本项目绩效评价局限性的说明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7106B35E">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（三）</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关于本项目评价中存在的瑕疵事项的说明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7</w:t>
      </w:r>
    </w:p>
    <w:p w14:paraId="35639D9A">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"_Toc24706" </w:instrText>
      </w:r>
      <w:r>
        <w:fldChar w:fldCharType="separate"/>
      </w:r>
      <w:r>
        <w:rPr>
          <w:rFonts w:ascii="Times New Roman" w:hAnsi="仿宋" w:eastAsia="仿宋" w:cs="Times New Roman"/>
          <w:smallCaps w:val="0"/>
          <w:szCs w:val="28"/>
        </w:rPr>
        <w:t>（四）</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提示报告使用者注意事项的说明</w:t>
      </w:r>
      <w:r>
        <w:rPr>
          <w:rFonts w:ascii="Times New Roman" w:hAnsi="Times New Roman" w:eastAsia="仿宋" w:cs="Times New Roman"/>
          <w:smallCaps w:val="0"/>
          <w:szCs w:val="28"/>
        </w:rPr>
        <w:tab/>
      </w:r>
      <w:r>
        <w:rPr>
          <w:rFonts w:ascii="Times New Roman" w:hAnsi="Times New Roman" w:eastAsia="仿宋" w:cs="Times New Roman"/>
          <w:smallCaps w:val="0"/>
          <w:szCs w:val="28"/>
        </w:rPr>
        <w:t>1</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7</w:t>
      </w:r>
    </w:p>
    <w:p w14:paraId="38B9B88D">
      <w:pPr>
        <w:pStyle w:val="8"/>
        <w:tabs>
          <w:tab w:val="right" w:leader="dot" w:pos="8703"/>
        </w:tabs>
        <w:spacing w:before="0" w:after="0" w:line="420" w:lineRule="exact"/>
        <w:rPr>
          <w:rFonts w:ascii="Times New Roman" w:hAnsi="Times New Roman" w:eastAsia="仿宋" w:cs="Times New Roman"/>
          <w:caps w:val="0"/>
          <w:szCs w:val="28"/>
        </w:rPr>
      </w:pPr>
      <w:r>
        <w:rPr>
          <w:rFonts w:ascii="Times New Roman" w:hAnsi="Times New Roman" w:eastAsia="仿宋" w:cs="Times New Roman"/>
          <w:b w:val="0"/>
          <w:bCs w:val="0"/>
          <w:caps w:val="0"/>
          <w:szCs w:val="28"/>
        </w:rPr>
        <w:fldChar w:fldCharType="end"/>
      </w:r>
      <w:r>
        <w:fldChar w:fldCharType="begin"/>
      </w:r>
      <w:r>
        <w:instrText xml:space="preserve"> HYPERLINK \l "_Toc23664" </w:instrText>
      </w:r>
      <w:r>
        <w:fldChar w:fldCharType="separate"/>
      </w:r>
      <w:r>
        <w:rPr>
          <w:rFonts w:ascii="Times New Roman" w:hAnsi="仿宋" w:eastAsia="仿宋" w:cs="Times New Roman"/>
          <w:caps w:val="0"/>
          <w:szCs w:val="28"/>
        </w:rPr>
        <w:t>第三部分</w:t>
      </w:r>
      <w:r>
        <w:rPr>
          <w:rFonts w:ascii="Times New Roman" w:hAnsi="Times New Roman" w:eastAsia="仿宋" w:cs="Times New Roman"/>
          <w:caps w:val="0"/>
          <w:szCs w:val="28"/>
        </w:rPr>
        <w:t xml:space="preserve">  </w:t>
      </w:r>
      <w:r>
        <w:rPr>
          <w:rFonts w:ascii="Times New Roman" w:hAnsi="仿宋" w:eastAsia="仿宋" w:cs="Times New Roman"/>
          <w:caps w:val="0"/>
          <w:szCs w:val="28"/>
        </w:rPr>
        <w:t>附件</w:t>
      </w:r>
      <w:r>
        <w:rPr>
          <w:rFonts w:ascii="Times New Roman" w:hAnsi="Times New Roman" w:eastAsia="仿宋" w:cs="Times New Roman"/>
          <w:caps w:val="0"/>
          <w:szCs w:val="28"/>
        </w:rPr>
        <w:tab/>
      </w:r>
      <w:r>
        <w:rPr>
          <w:rFonts w:ascii="Times New Roman" w:hAnsi="Times New Roman" w:eastAsia="仿宋" w:cs="Times New Roman"/>
          <w:caps w:val="0"/>
          <w:szCs w:val="28"/>
        </w:rPr>
        <w:t>1</w:t>
      </w:r>
      <w:r>
        <w:rPr>
          <w:rFonts w:ascii="Times New Roman" w:hAnsi="Times New Roman" w:eastAsia="仿宋" w:cs="Times New Roman"/>
          <w:caps w:val="0"/>
          <w:szCs w:val="28"/>
        </w:rPr>
        <w:fldChar w:fldCharType="end"/>
      </w:r>
      <w:r>
        <w:rPr>
          <w:rFonts w:ascii="Times New Roman" w:hAnsi="Times New Roman" w:eastAsia="仿宋" w:cs="Times New Roman"/>
          <w:caps w:val="0"/>
          <w:szCs w:val="28"/>
        </w:rPr>
        <w:t>9</w:t>
      </w:r>
    </w:p>
    <w:p w14:paraId="7764277D">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仿宋" w:eastAsia="仿宋" w:cs="Times New Roman"/>
          <w:smallCaps w:val="0"/>
          <w:szCs w:val="28"/>
        </w:rPr>
        <w:t>（一）</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项目绩效评价评分表</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0</w:t>
      </w:r>
    </w:p>
    <w:p w14:paraId="3BB16903">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（二）</w:t>
      </w:r>
      <w:r>
        <w:rPr>
          <w:rFonts w:ascii="Times New Roman" w:hAnsi="Times New Roman" w:eastAsia="仿宋" w:cs="Times New Roman"/>
          <w:smallCaps w:val="0"/>
          <w:szCs w:val="28"/>
        </w:rPr>
        <w:t xml:space="preserve"> </w:t>
      </w:r>
      <w:r>
        <w:rPr>
          <w:rFonts w:ascii="Times New Roman" w:hAnsi="仿宋" w:eastAsia="仿宋" w:cs="Times New Roman"/>
          <w:smallCaps w:val="0"/>
          <w:szCs w:val="28"/>
        </w:rPr>
        <w:t>基础数据表</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2</w:t>
      </w:r>
    </w:p>
    <w:p w14:paraId="2E4F8549">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仿宋" w:eastAsia="仿宋" w:cs="Times New Roman"/>
          <w:smallCaps w:val="0"/>
          <w:szCs w:val="28"/>
        </w:rPr>
        <w:t>（三）现场调研和访谈相关资料</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3</w:t>
      </w:r>
    </w:p>
    <w:p w14:paraId="61A8CA3F">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 xml:space="preserve">      3-1</w:t>
      </w:r>
      <w:r>
        <w:rPr>
          <w:rFonts w:ascii="Times New Roman" w:hAnsi="仿宋" w:eastAsia="仿宋" w:cs="Times New Roman"/>
          <w:smallCaps w:val="0"/>
          <w:szCs w:val="28"/>
        </w:rPr>
        <w:t>．项目访谈大纲</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3</w:t>
      </w:r>
    </w:p>
    <w:p w14:paraId="77453434">
      <w:pPr>
        <w:pStyle w:val="10"/>
        <w:tabs>
          <w:tab w:val="right" w:leader="dot" w:pos="8703"/>
        </w:tabs>
        <w:spacing w:line="420" w:lineRule="exact"/>
        <w:ind w:firstLine="840" w:firstLineChars="300"/>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3-2</w:t>
      </w:r>
      <w:r>
        <w:rPr>
          <w:rFonts w:ascii="Times New Roman" w:hAnsi="仿宋" w:eastAsia="仿宋" w:cs="Times New Roman"/>
          <w:smallCaps w:val="0"/>
          <w:szCs w:val="28"/>
        </w:rPr>
        <w:t>．现场调研记录</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4</w:t>
      </w:r>
    </w:p>
    <w:p w14:paraId="0AE7119D">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（四）调查问卷及汇总信息</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5</w:t>
      </w:r>
    </w:p>
    <w:p w14:paraId="7FFD93DD">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 xml:space="preserve">      4-1</w:t>
      </w:r>
      <w:r>
        <w:rPr>
          <w:rFonts w:ascii="Times New Roman" w:hAnsi="仿宋" w:eastAsia="仿宋" w:cs="Times New Roman"/>
          <w:smallCaps w:val="0"/>
          <w:szCs w:val="28"/>
        </w:rPr>
        <w:t>．调查问卷</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5</w:t>
      </w:r>
    </w:p>
    <w:p w14:paraId="20B5BE6A">
      <w:pPr>
        <w:pStyle w:val="10"/>
        <w:tabs>
          <w:tab w:val="right" w:leader="dot" w:pos="8703"/>
        </w:tabs>
        <w:spacing w:line="420" w:lineRule="exact"/>
        <w:ind w:firstLine="840" w:firstLineChars="300"/>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4-2</w:t>
      </w:r>
      <w:r>
        <w:rPr>
          <w:rFonts w:ascii="Times New Roman" w:hAnsi="仿宋" w:eastAsia="仿宋" w:cs="Times New Roman"/>
          <w:smallCaps w:val="0"/>
          <w:szCs w:val="28"/>
        </w:rPr>
        <w:t>．调查问卷分析</w:t>
      </w:r>
      <w:r>
        <w:rPr>
          <w:rFonts w:ascii="Times New Roman" w:hAnsi="Times New Roman" w:eastAsia="仿宋" w:cs="Times New Roman"/>
          <w:smallCaps w:val="0"/>
          <w:szCs w:val="28"/>
        </w:rPr>
        <w:tab/>
      </w:r>
      <w:r>
        <w:rPr>
          <w:rFonts w:ascii="Times New Roman" w:hAnsi="Times New Roman" w:eastAsia="仿宋" w:cs="Times New Roman"/>
          <w:smallCaps w:val="0"/>
          <w:szCs w:val="28"/>
        </w:rPr>
        <w:t>2</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2BABCFC7">
      <w:pPr>
        <w:pStyle w:val="10"/>
        <w:tabs>
          <w:tab w:val="right" w:leader="dot" w:pos="8703"/>
        </w:tabs>
        <w:spacing w:line="420" w:lineRule="exact"/>
        <w:ind w:firstLine="840" w:firstLineChars="300"/>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Times New Roman" w:eastAsia="仿宋" w:cs="Times New Roman"/>
          <w:smallCaps w:val="0"/>
          <w:szCs w:val="28"/>
        </w:rPr>
        <w:t>4-3</w:t>
      </w:r>
      <w:r>
        <w:rPr>
          <w:rFonts w:ascii="Times New Roman" w:hAnsi="仿宋" w:eastAsia="仿宋" w:cs="Times New Roman"/>
          <w:smallCaps w:val="0"/>
          <w:szCs w:val="28"/>
        </w:rPr>
        <w:t>．调查问卷统计信息一览表</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0</w:t>
      </w:r>
    </w:p>
    <w:p w14:paraId="724FF251">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"_Toc7092" </w:instrText>
      </w:r>
      <w:r>
        <w:fldChar w:fldCharType="separate"/>
      </w:r>
      <w:r>
        <w:rPr>
          <w:rFonts w:ascii="Times New Roman" w:hAnsi="仿宋" w:eastAsia="仿宋" w:cs="Times New Roman"/>
          <w:smallCaps w:val="0"/>
          <w:szCs w:val="28"/>
        </w:rPr>
        <w:t>（五）项目实施单位绩效报告</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1</w:t>
      </w:r>
    </w:p>
    <w:p w14:paraId="1DA7DCEB">
      <w:pPr>
        <w:pStyle w:val="10"/>
        <w:tabs>
          <w:tab w:val="right" w:leader="dot" w:pos="8703"/>
        </w:tabs>
        <w:spacing w:line="420" w:lineRule="exact"/>
        <w:rPr>
          <w:rFonts w:ascii="Times New Roman" w:hAnsi="Times New Roman" w:eastAsia="仿宋" w:cs="Times New Roman"/>
          <w:smallCaps w:val="0"/>
          <w:szCs w:val="28"/>
        </w:rPr>
      </w:pPr>
      <w:r>
        <w:fldChar w:fldCharType="begin"/>
      </w:r>
      <w:r>
        <w:instrText xml:space="preserve"> HYPERLINK \l "_Toc29209" </w:instrText>
      </w:r>
      <w:r>
        <w:fldChar w:fldCharType="separate"/>
      </w:r>
      <w:r>
        <w:rPr>
          <w:rFonts w:ascii="Times New Roman" w:hAnsi="仿宋" w:eastAsia="仿宋" w:cs="Times New Roman"/>
          <w:smallCaps w:val="0"/>
          <w:szCs w:val="28"/>
        </w:rPr>
        <w:t>（六）项目支出年度绩效目标完成情况对比表</w:t>
      </w:r>
      <w:r>
        <w:rPr>
          <w:rFonts w:ascii="Times New Roman" w:hAnsi="Times New Roman" w:eastAsia="仿宋" w:cs="Times New Roman"/>
          <w:smallCaps w:val="0"/>
          <w:szCs w:val="28"/>
        </w:rPr>
        <w:tab/>
      </w:r>
      <w:r>
        <w:rPr>
          <w:rFonts w:ascii="Times New Roman" w:hAnsi="Times New Roman" w:eastAsia="仿宋" w:cs="Times New Roman"/>
          <w:smallCaps w:val="0"/>
          <w:szCs w:val="28"/>
        </w:rPr>
        <w:t>3</w:t>
      </w:r>
      <w:r>
        <w:rPr>
          <w:rFonts w:ascii="Times New Roman" w:hAnsi="Times New Roman" w:eastAsia="仿宋" w:cs="Times New Roman"/>
          <w:smallCaps w:val="0"/>
          <w:szCs w:val="28"/>
        </w:rPr>
        <w:fldChar w:fldCharType="end"/>
      </w:r>
      <w:r>
        <w:rPr>
          <w:rFonts w:ascii="Times New Roman" w:hAnsi="Times New Roman" w:eastAsia="仿宋" w:cs="Times New Roman"/>
          <w:smallCaps w:val="0"/>
          <w:szCs w:val="28"/>
        </w:rPr>
        <w:t>6</w:t>
      </w:r>
    </w:p>
    <w:p w14:paraId="1980BDBC">
      <w:pPr>
        <w:pStyle w:val="10"/>
        <w:tabs>
          <w:tab w:val="right" w:leader="dot" w:pos="8703"/>
        </w:tabs>
        <w:spacing w:line="420" w:lineRule="exact"/>
      </w:pPr>
      <w:r>
        <w:fldChar w:fldCharType="begin"/>
      </w:r>
      <w:r>
        <w:instrText xml:space="preserve"> HYPERLINK \l "_Toc7092" </w:instrText>
      </w:r>
      <w:r>
        <w:fldChar w:fldCharType="separate"/>
      </w:r>
      <w:r>
        <w:rPr>
          <w:rFonts w:ascii="Times New Roman" w:hAnsi="仿宋" w:eastAsia="仿宋" w:cs="Times New Roman"/>
          <w:smallCaps w:val="0"/>
          <w:szCs w:val="28"/>
        </w:rPr>
        <w:t>（七）评价机构营业执照（复印件）</w:t>
      </w:r>
      <w:r>
        <w:rPr>
          <w:rFonts w:ascii="Times New Roman" w:hAnsi="仿宋" w:eastAsia="仿宋" w:cs="Times New Roman"/>
          <w:smallCaps w:val="0"/>
          <w:szCs w:val="28"/>
        </w:rPr>
        <w:fldChar w:fldCharType="end"/>
      </w:r>
    </w:p>
    <w:p w14:paraId="3E04BC8E">
      <w:pPr>
        <w:pStyle w:val="10"/>
        <w:tabs>
          <w:tab w:val="right" w:leader="dot" w:pos="8703"/>
        </w:tabs>
        <w:spacing w:line="420" w:lineRule="exact"/>
        <w:rPr>
          <w:rFonts w:ascii="Times New Roman" w:hAnsi="Times New Roman" w:eastAsia="仿宋" w:cs="Times New Roman"/>
          <w:smallCaps w:val="0"/>
          <w:szCs w:val="28"/>
          <w:highlight w:val="yellow"/>
        </w:rPr>
      </w:pPr>
      <w:r>
        <w:fldChar w:fldCharType="begin"/>
      </w:r>
      <w:r>
        <w:instrText xml:space="preserve"> HYPERLINK \l "_Toc7092" </w:instrText>
      </w:r>
      <w:r>
        <w:fldChar w:fldCharType="separate"/>
      </w:r>
      <w:r>
        <w:rPr>
          <w:rFonts w:ascii="Times New Roman" w:hAnsi="仿宋" w:eastAsia="仿宋" w:cs="Times New Roman"/>
          <w:smallCaps w:val="0"/>
          <w:szCs w:val="28"/>
        </w:rPr>
        <w:t>（</w:t>
      </w:r>
      <w:r>
        <w:rPr>
          <w:rFonts w:hint="eastAsia" w:ascii="Times New Roman" w:hAnsi="仿宋" w:eastAsia="仿宋" w:cs="Times New Roman"/>
          <w:smallCaps w:val="0"/>
          <w:szCs w:val="28"/>
        </w:rPr>
        <w:t>八</w:t>
      </w:r>
      <w:r>
        <w:rPr>
          <w:rFonts w:ascii="Times New Roman" w:hAnsi="仿宋" w:eastAsia="仿宋" w:cs="Times New Roman"/>
          <w:smallCaps w:val="0"/>
          <w:szCs w:val="28"/>
        </w:rPr>
        <w:t>）</w:t>
      </w:r>
      <w:r>
        <w:rPr>
          <w:rFonts w:ascii="Times New Roman" w:hAnsi="仿宋" w:eastAsia="仿宋" w:cs="Times New Roman"/>
          <w:szCs w:val="28"/>
        </w:rPr>
        <w:t>评价机构资质证书</w:t>
      </w:r>
      <w:r>
        <w:rPr>
          <w:rFonts w:ascii="Times New Roman" w:hAnsi="仿宋" w:eastAsia="仿宋" w:cs="Times New Roman"/>
          <w:smallCaps w:val="0"/>
          <w:szCs w:val="28"/>
        </w:rPr>
        <w:t>（复印件）</w:t>
      </w:r>
      <w:r>
        <w:rPr>
          <w:rFonts w:ascii="Times New Roman" w:hAnsi="仿宋" w:eastAsia="仿宋" w:cs="Times New Roman"/>
          <w:smallCaps w:val="0"/>
          <w:szCs w:val="28"/>
        </w:rPr>
        <w:fldChar w:fldCharType="end"/>
      </w:r>
    </w:p>
    <w:p w14:paraId="73F27CF9">
      <w:pPr>
        <w:rPr>
          <w:highlight w:val="yellow"/>
        </w:rPr>
      </w:pPr>
    </w:p>
    <w:p w14:paraId="03151AD4">
      <w:pPr>
        <w:pStyle w:val="10"/>
        <w:tabs>
          <w:tab w:val="right" w:leader="dot" w:pos="8703"/>
        </w:tabs>
        <w:spacing w:line="420" w:lineRule="exact"/>
        <w:rPr>
          <w:rFonts w:ascii="Times New Roman" w:hAnsi="Times New Roman" w:eastAsia="仿宋" w:cs="Times New Roman"/>
          <w:smallCaps w:val="0"/>
          <w:szCs w:val="28"/>
        </w:rPr>
      </w:pPr>
    </w:p>
    <w:p w14:paraId="2A89E3C6">
      <w:pPr>
        <w:spacing w:line="480" w:lineRule="exact"/>
        <w:jc w:val="center"/>
        <w:outlineLvl w:val="0"/>
        <w:rPr>
          <w:rFonts w:ascii="Times New Roman" w:hAnsi="Times New Roman" w:eastAsia="仿宋" w:cs="Times New Roman"/>
          <w:b/>
          <w:sz w:val="44"/>
          <w:szCs w:val="44"/>
        </w:rPr>
      </w:pPr>
    </w:p>
    <w:p w14:paraId="6FDC32C1">
      <w:pPr>
        <w:spacing w:line="440" w:lineRule="exact"/>
        <w:jc w:val="center"/>
        <w:outlineLvl w:val="0"/>
        <w:rPr>
          <w:rFonts w:ascii="Times New Roman" w:hAnsi="Times New Roman" w:eastAsia="仿宋" w:cs="Times New Roman"/>
          <w:b/>
          <w:sz w:val="44"/>
          <w:szCs w:val="44"/>
        </w:rPr>
      </w:pPr>
    </w:p>
    <w:p w14:paraId="6E76E82D">
      <w:pPr>
        <w:spacing w:line="440" w:lineRule="exact"/>
        <w:jc w:val="center"/>
        <w:outlineLvl w:val="0"/>
        <w:rPr>
          <w:rFonts w:ascii="Times New Roman" w:hAnsi="Times New Roman" w:eastAsia="仿宋" w:cs="Times New Roman"/>
          <w:b/>
          <w:sz w:val="44"/>
          <w:szCs w:val="44"/>
        </w:rPr>
        <w:sectPr>
          <w:footerReference r:id="rId5" w:type="default"/>
          <w:pgSz w:w="11906" w:h="16838"/>
          <w:pgMar w:top="1440" w:right="2088" w:bottom="1440" w:left="1418" w:header="851" w:footer="992" w:gutter="0"/>
          <w:pgNumType w:start="1"/>
          <w:cols w:space="425" w:num="1"/>
          <w:docGrid w:type="lines" w:linePitch="312" w:charSpace="0"/>
        </w:sectPr>
      </w:pPr>
    </w:p>
    <w:p w14:paraId="4FDC2D78">
      <w:pPr>
        <w:spacing w:line="760" w:lineRule="exact"/>
        <w:jc w:val="center"/>
        <w:rPr>
          <w:rFonts w:ascii="Times New Roman" w:hAnsi="Times New Roman" w:eastAsia="仿宋" w:cs="Times New Roman"/>
          <w:b/>
          <w:color w:val="000000"/>
          <w:sz w:val="44"/>
          <w:szCs w:val="44"/>
        </w:rPr>
      </w:pPr>
    </w:p>
    <w:p w14:paraId="23E8F3BD">
      <w:pPr>
        <w:spacing w:line="760" w:lineRule="exact"/>
        <w:jc w:val="center"/>
        <w:rPr>
          <w:rFonts w:ascii="Times New Roman" w:hAnsi="Times New Roman" w:eastAsia="仿宋" w:cs="Times New Roman"/>
          <w:b/>
          <w:color w:val="000000"/>
          <w:sz w:val="44"/>
          <w:szCs w:val="44"/>
        </w:rPr>
      </w:pPr>
      <w:r>
        <w:rPr>
          <w:rFonts w:ascii="Times New Roman" w:hAnsi="Times New Roman" w:eastAsia="仿宋" w:cs="Times New Roman"/>
          <w:b/>
          <w:color w:val="000000"/>
          <w:sz w:val="44"/>
          <w:szCs w:val="44"/>
        </w:rPr>
        <w:t>2018</w:t>
      </w:r>
      <w:r>
        <w:rPr>
          <w:rFonts w:ascii="Times New Roman" w:hAnsi="仿宋" w:eastAsia="仿宋" w:cs="Times New Roman"/>
          <w:b/>
          <w:color w:val="000000"/>
          <w:sz w:val="44"/>
          <w:szCs w:val="44"/>
        </w:rPr>
        <w:t>年度基层党建综合事务经费</w:t>
      </w:r>
    </w:p>
    <w:p w14:paraId="194EC5C3">
      <w:pPr>
        <w:spacing w:line="760" w:lineRule="exact"/>
        <w:jc w:val="center"/>
        <w:rPr>
          <w:rFonts w:ascii="Times New Roman" w:hAnsi="Times New Roman" w:eastAsia="仿宋" w:cs="Times New Roman"/>
          <w:b/>
          <w:color w:val="000000"/>
          <w:sz w:val="44"/>
          <w:szCs w:val="44"/>
        </w:rPr>
      </w:pPr>
      <w:r>
        <w:rPr>
          <w:rFonts w:ascii="Times New Roman" w:hAnsi="仿宋" w:eastAsia="仿宋" w:cs="Times New Roman"/>
          <w:b/>
          <w:color w:val="000000"/>
          <w:sz w:val="44"/>
          <w:szCs w:val="44"/>
        </w:rPr>
        <w:t>绩效评价报告</w:t>
      </w:r>
    </w:p>
    <w:p w14:paraId="5BF02F49">
      <w:pPr>
        <w:spacing w:line="500" w:lineRule="exact"/>
        <w:jc w:val="right"/>
        <w:outlineLvl w:val="0"/>
        <w:rPr>
          <w:rFonts w:ascii="Times New Roman" w:hAnsi="Times New Roman" w:eastAsia="仿宋" w:cs="Times New Roman"/>
          <w:sz w:val="28"/>
          <w:szCs w:val="28"/>
        </w:rPr>
      </w:pPr>
    </w:p>
    <w:p w14:paraId="0D9901BF">
      <w:pPr>
        <w:spacing w:line="500" w:lineRule="exact"/>
        <w:jc w:val="right"/>
        <w:outlineLvl w:val="0"/>
        <w:rPr>
          <w:rFonts w:ascii="Times New Roman" w:hAnsi="Times New Roman" w:eastAsia="仿宋" w:cs="Times New Roman"/>
          <w:b/>
          <w:sz w:val="28"/>
          <w:szCs w:val="28"/>
        </w:rPr>
      </w:pPr>
      <w:r>
        <w:rPr>
          <w:rFonts w:ascii="Times New Roman" w:hAnsi="仿宋" w:eastAsia="仿宋" w:cs="Times New Roman"/>
          <w:sz w:val="28"/>
          <w:szCs w:val="28"/>
        </w:rPr>
        <w:t>武泓昌宇咨字（</w:t>
      </w:r>
      <w:r>
        <w:rPr>
          <w:rFonts w:ascii="Times New Roman" w:hAnsi="Times New Roman" w:eastAsia="仿宋" w:cs="Times New Roman"/>
          <w:sz w:val="28"/>
          <w:szCs w:val="28"/>
        </w:rPr>
        <w:t>2019</w:t>
      </w:r>
      <w:r>
        <w:rPr>
          <w:rFonts w:ascii="Times New Roman" w:hAnsi="仿宋" w:eastAsia="仿宋" w:cs="Times New Roman"/>
          <w:sz w:val="28"/>
          <w:szCs w:val="28"/>
        </w:rPr>
        <w:t>）第</w:t>
      </w:r>
      <w:r>
        <w:rPr>
          <w:rFonts w:ascii="Times New Roman" w:hAnsi="Times New Roman" w:eastAsia="仿宋" w:cs="Times New Roman"/>
          <w:sz w:val="28"/>
          <w:szCs w:val="28"/>
        </w:rPr>
        <w:t>003</w:t>
      </w:r>
      <w:r>
        <w:rPr>
          <w:rFonts w:ascii="Times New Roman" w:hAnsi="仿宋" w:eastAsia="仿宋" w:cs="Times New Roman"/>
          <w:sz w:val="28"/>
          <w:szCs w:val="28"/>
        </w:rPr>
        <w:t>号</w:t>
      </w:r>
    </w:p>
    <w:p w14:paraId="7865B399">
      <w:pPr>
        <w:spacing w:line="720" w:lineRule="exact"/>
        <w:jc w:val="center"/>
        <w:outlineLvl w:val="0"/>
        <w:rPr>
          <w:rFonts w:ascii="Times New Roman" w:hAnsi="Times New Roman" w:eastAsia="仿宋" w:cs="Times New Roman"/>
          <w:b/>
          <w:sz w:val="44"/>
          <w:szCs w:val="44"/>
        </w:rPr>
      </w:pPr>
    </w:p>
    <w:p w14:paraId="43486050">
      <w:pPr>
        <w:spacing w:line="720" w:lineRule="exact"/>
        <w:jc w:val="center"/>
        <w:outlineLvl w:val="0"/>
        <w:rPr>
          <w:rFonts w:ascii="Times New Roman" w:hAnsi="Times New Roman" w:eastAsia="仿宋" w:cs="Times New Roman"/>
          <w:b/>
          <w:sz w:val="36"/>
          <w:szCs w:val="36"/>
        </w:rPr>
      </w:pPr>
      <w:r>
        <w:rPr>
          <w:rFonts w:ascii="Times New Roman" w:hAnsi="仿宋" w:eastAsia="仿宋" w:cs="Times New Roman"/>
          <w:b/>
          <w:sz w:val="36"/>
          <w:szCs w:val="36"/>
        </w:rPr>
        <w:t>第一部分</w:t>
      </w:r>
      <w:r>
        <w:rPr>
          <w:rFonts w:ascii="Times New Roman" w:hAnsi="Times New Roman" w:eastAsia="仿宋" w:cs="Times New Roman"/>
          <w:b/>
          <w:sz w:val="36"/>
          <w:szCs w:val="36"/>
        </w:rPr>
        <w:t xml:space="preserve">  </w:t>
      </w:r>
      <w:r>
        <w:rPr>
          <w:rFonts w:ascii="Times New Roman" w:hAnsi="仿宋" w:eastAsia="仿宋" w:cs="Times New Roman"/>
          <w:b/>
          <w:sz w:val="36"/>
          <w:szCs w:val="36"/>
        </w:rPr>
        <w:t>摘要</w:t>
      </w:r>
      <w:bookmarkEnd w:id="0"/>
    </w:p>
    <w:p w14:paraId="38C6A4FE">
      <w:pPr>
        <w:spacing w:line="440" w:lineRule="exact"/>
        <w:jc w:val="center"/>
        <w:rPr>
          <w:rFonts w:ascii="Times New Roman" w:hAnsi="Times New Roman" w:eastAsia="仿宋" w:cs="Times New Roman"/>
          <w:b/>
        </w:rPr>
      </w:pPr>
    </w:p>
    <w:p w14:paraId="01922EC8">
      <w:pPr>
        <w:spacing w:line="500" w:lineRule="exact"/>
        <w:ind w:left="420" w:leftChars="200"/>
        <w:jc w:val="left"/>
        <w:rPr>
          <w:rFonts w:ascii="Times New Roman" w:hAnsi="Times New Roman" w:eastAsia="仿宋" w:cs="Times New Roman"/>
          <w:b/>
          <w:sz w:val="28"/>
          <w:szCs w:val="28"/>
        </w:rPr>
      </w:pPr>
      <w:r>
        <w:rPr>
          <w:rFonts w:ascii="Times New Roman" w:hAnsi="仿宋" w:eastAsia="仿宋" w:cs="Times New Roman"/>
          <w:b/>
          <w:sz w:val="28"/>
          <w:szCs w:val="28"/>
        </w:rPr>
        <w:t>一、项目名称：</w:t>
      </w:r>
      <w:r>
        <w:rPr>
          <w:rFonts w:ascii="Times New Roman" w:hAnsi="Times New Roman" w:eastAsia="仿宋" w:cs="Times New Roman"/>
          <w:bCs/>
          <w:sz w:val="28"/>
          <w:szCs w:val="28"/>
        </w:rPr>
        <w:t>2018</w:t>
      </w:r>
      <w:r>
        <w:rPr>
          <w:rFonts w:ascii="Times New Roman" w:hAnsi="仿宋" w:eastAsia="仿宋" w:cs="Times New Roman"/>
          <w:bCs/>
          <w:sz w:val="28"/>
          <w:szCs w:val="28"/>
        </w:rPr>
        <w:t>年</w:t>
      </w:r>
      <w:r>
        <w:rPr>
          <w:rFonts w:ascii="Times New Roman" w:hAnsi="仿宋" w:eastAsia="仿宋" w:cs="Times New Roman"/>
          <w:sz w:val="28"/>
          <w:szCs w:val="28"/>
        </w:rPr>
        <w:t>度基层党建综合事务经费</w:t>
      </w:r>
    </w:p>
    <w:p w14:paraId="0E771CE0">
      <w:pPr>
        <w:spacing w:line="500" w:lineRule="exact"/>
        <w:ind w:left="420" w:leftChars="200"/>
        <w:jc w:val="left"/>
        <w:rPr>
          <w:rFonts w:ascii="Times New Roman" w:hAnsi="Times New Roman" w:eastAsia="仿宋" w:cs="Times New Roman"/>
          <w:b/>
          <w:sz w:val="28"/>
          <w:szCs w:val="28"/>
        </w:rPr>
      </w:pPr>
    </w:p>
    <w:p w14:paraId="271CE896">
      <w:pPr>
        <w:spacing w:line="500" w:lineRule="exact"/>
        <w:ind w:left="420" w:leftChars="200"/>
        <w:jc w:val="left"/>
        <w:rPr>
          <w:rFonts w:ascii="Times New Roman" w:hAnsi="Times New Roman" w:eastAsia="仿宋" w:cs="Times New Roman"/>
          <w:b/>
          <w:sz w:val="28"/>
          <w:szCs w:val="28"/>
        </w:rPr>
      </w:pPr>
      <w:r>
        <w:rPr>
          <w:rFonts w:ascii="Times New Roman" w:hAnsi="仿宋" w:eastAsia="仿宋" w:cs="Times New Roman"/>
          <w:b/>
          <w:sz w:val="28"/>
          <w:szCs w:val="28"/>
        </w:rPr>
        <w:t>二、项目金额：</w:t>
      </w:r>
      <w:r>
        <w:rPr>
          <w:rFonts w:ascii="Times New Roman" w:hAnsi="Times New Roman" w:eastAsia="仿宋" w:cs="Times New Roman"/>
          <w:sz w:val="28"/>
          <w:szCs w:val="28"/>
        </w:rPr>
        <w:t>45.69</w:t>
      </w:r>
      <w:r>
        <w:rPr>
          <w:rFonts w:ascii="Times New Roman" w:hAnsi="仿宋" w:eastAsia="仿宋" w:cs="Times New Roman"/>
          <w:sz w:val="28"/>
          <w:szCs w:val="28"/>
        </w:rPr>
        <w:t>万元</w:t>
      </w:r>
    </w:p>
    <w:p w14:paraId="1DAC598E">
      <w:pPr>
        <w:spacing w:line="500" w:lineRule="exact"/>
        <w:ind w:left="420" w:leftChars="200"/>
        <w:jc w:val="left"/>
        <w:rPr>
          <w:rFonts w:ascii="Times New Roman" w:hAnsi="Times New Roman" w:eastAsia="仿宋" w:cs="Times New Roman"/>
          <w:b/>
          <w:sz w:val="28"/>
          <w:szCs w:val="28"/>
        </w:rPr>
      </w:pPr>
    </w:p>
    <w:p w14:paraId="55AD71AE">
      <w:pPr>
        <w:spacing w:line="440" w:lineRule="exact"/>
        <w:ind w:left="420" w:leftChars="200"/>
        <w:jc w:val="left"/>
        <w:rPr>
          <w:rFonts w:ascii="Times New Roman" w:hAnsi="Times New Roman" w:eastAsia="仿宋" w:cs="Times New Roman"/>
          <w:b/>
          <w:sz w:val="28"/>
          <w:szCs w:val="28"/>
        </w:rPr>
      </w:pPr>
      <w:r>
        <w:rPr>
          <w:rFonts w:ascii="Times New Roman" w:hAnsi="仿宋" w:eastAsia="仿宋" w:cs="Times New Roman"/>
          <w:b/>
          <w:sz w:val="28"/>
          <w:szCs w:val="28"/>
        </w:rPr>
        <w:t>三、绩效评价结果</w:t>
      </w:r>
    </w:p>
    <w:tbl>
      <w:tblPr>
        <w:tblStyle w:val="12"/>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2166"/>
        <w:gridCol w:w="2311"/>
        <w:gridCol w:w="2166"/>
      </w:tblGrid>
      <w:tr w14:paraId="7125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tcBorders>
              <w:bottom w:val="single" w:color="008000" w:sz="6" w:space="0"/>
            </w:tcBorders>
            <w:vAlign w:val="center"/>
          </w:tcPr>
          <w:p w14:paraId="38E5832C">
            <w:pPr>
              <w:ind w:firstLine="420"/>
              <w:rPr>
                <w:rFonts w:ascii="Times New Roman" w:hAnsi="Times New Roman" w:eastAsia="仿宋" w:cs="Times New Roman"/>
                <w:b/>
                <w:sz w:val="24"/>
                <w:szCs w:val="24"/>
              </w:rPr>
            </w:pPr>
            <w:r>
              <w:rPr>
                <w:rFonts w:ascii="Times New Roman" w:hAnsi="仿宋" w:eastAsia="仿宋" w:cs="Times New Roman"/>
                <w:b/>
                <w:sz w:val="24"/>
                <w:szCs w:val="24"/>
              </w:rPr>
              <w:t>评价准则</w:t>
            </w:r>
          </w:p>
        </w:tc>
        <w:tc>
          <w:tcPr>
            <w:tcW w:w="2166" w:type="dxa"/>
            <w:tcBorders>
              <w:bottom w:val="single" w:color="008000" w:sz="6" w:space="0"/>
            </w:tcBorders>
            <w:vAlign w:val="center"/>
          </w:tcPr>
          <w:p w14:paraId="1DD50C80">
            <w:pPr>
              <w:ind w:firstLine="420"/>
              <w:rPr>
                <w:rFonts w:ascii="Times New Roman" w:hAnsi="Times New Roman" w:eastAsia="仿宋" w:cs="Times New Roman"/>
                <w:b/>
                <w:sz w:val="24"/>
                <w:szCs w:val="24"/>
              </w:rPr>
            </w:pPr>
            <w:r>
              <w:rPr>
                <w:rFonts w:ascii="Times New Roman" w:hAnsi="仿宋" w:eastAsia="仿宋" w:cs="Times New Roman"/>
                <w:b/>
                <w:sz w:val="24"/>
                <w:szCs w:val="24"/>
              </w:rPr>
              <w:t>准则分值</w:t>
            </w:r>
          </w:p>
        </w:tc>
        <w:tc>
          <w:tcPr>
            <w:tcW w:w="2311" w:type="dxa"/>
            <w:tcBorders>
              <w:bottom w:val="single" w:color="008000" w:sz="6" w:space="0"/>
            </w:tcBorders>
            <w:vAlign w:val="center"/>
          </w:tcPr>
          <w:p w14:paraId="2FB5E109">
            <w:pPr>
              <w:ind w:left="183" w:firstLine="420"/>
              <w:rPr>
                <w:rFonts w:ascii="Times New Roman" w:hAnsi="Times New Roman" w:eastAsia="仿宋" w:cs="Times New Roman"/>
                <w:b/>
                <w:sz w:val="24"/>
                <w:szCs w:val="24"/>
              </w:rPr>
            </w:pPr>
            <w:r>
              <w:rPr>
                <w:rFonts w:ascii="Times New Roman" w:hAnsi="仿宋" w:eastAsia="仿宋" w:cs="Times New Roman"/>
                <w:b/>
                <w:sz w:val="24"/>
                <w:szCs w:val="24"/>
              </w:rPr>
              <w:t>评价得分</w:t>
            </w:r>
          </w:p>
        </w:tc>
        <w:tc>
          <w:tcPr>
            <w:tcW w:w="2166" w:type="dxa"/>
            <w:tcBorders>
              <w:bottom w:val="single" w:color="008000" w:sz="6" w:space="0"/>
            </w:tcBorders>
            <w:vAlign w:val="center"/>
          </w:tcPr>
          <w:p w14:paraId="54B7F5B8">
            <w:pPr>
              <w:ind w:firstLine="420"/>
              <w:rPr>
                <w:rFonts w:ascii="Times New Roman" w:hAnsi="Times New Roman" w:eastAsia="仿宋" w:cs="Times New Roman"/>
                <w:b/>
                <w:sz w:val="24"/>
                <w:szCs w:val="24"/>
              </w:rPr>
            </w:pPr>
            <w:r>
              <w:rPr>
                <w:rFonts w:ascii="Times New Roman" w:hAnsi="仿宋" w:eastAsia="仿宋" w:cs="Times New Roman"/>
                <w:b/>
                <w:sz w:val="24"/>
                <w:szCs w:val="24"/>
              </w:rPr>
              <w:t>评价等级</w:t>
            </w:r>
          </w:p>
        </w:tc>
      </w:tr>
      <w:tr w14:paraId="6039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vAlign w:val="center"/>
          </w:tcPr>
          <w:p w14:paraId="3D58CF77">
            <w:pPr>
              <w:ind w:firstLine="420"/>
              <w:rPr>
                <w:rFonts w:ascii="Times New Roman" w:hAnsi="Times New Roman" w:eastAsia="仿宋" w:cs="Times New Roman"/>
                <w:sz w:val="24"/>
                <w:szCs w:val="24"/>
              </w:rPr>
            </w:pPr>
            <w:r>
              <w:rPr>
                <w:rFonts w:ascii="Times New Roman" w:hAnsi="仿宋" w:eastAsia="仿宋" w:cs="Times New Roman"/>
                <w:sz w:val="24"/>
                <w:szCs w:val="24"/>
              </w:rPr>
              <w:t>预算执行情况</w:t>
            </w:r>
          </w:p>
        </w:tc>
        <w:tc>
          <w:tcPr>
            <w:tcW w:w="2166" w:type="dxa"/>
            <w:vAlign w:val="center"/>
          </w:tcPr>
          <w:p w14:paraId="3BD155D2">
            <w:pPr>
              <w:ind w:firstLine="720" w:firstLineChars="300"/>
              <w:jc w:val="left"/>
              <w:rPr>
                <w:rFonts w:ascii="Times New Roman" w:hAnsi="Times New Roman" w:eastAsia="仿宋" w:cs="Times New Roman"/>
                <w:sz w:val="24"/>
                <w:szCs w:val="24"/>
              </w:rPr>
            </w:pPr>
            <w:r>
              <w:rPr>
                <w:rFonts w:ascii="Times New Roman" w:hAnsi="Times New Roman" w:eastAsia="仿宋" w:cs="Times New Roman"/>
                <w:sz w:val="24"/>
                <w:szCs w:val="24"/>
              </w:rPr>
              <w:t>20</w:t>
            </w:r>
            <w:r>
              <w:rPr>
                <w:rFonts w:ascii="Times New Roman" w:hAnsi="仿宋" w:eastAsia="仿宋" w:cs="Times New Roman"/>
                <w:sz w:val="24"/>
                <w:szCs w:val="24"/>
              </w:rPr>
              <w:t>分</w:t>
            </w:r>
          </w:p>
        </w:tc>
        <w:tc>
          <w:tcPr>
            <w:tcW w:w="2311" w:type="dxa"/>
            <w:vAlign w:val="center"/>
          </w:tcPr>
          <w:p w14:paraId="7FCA9BA5">
            <w:pPr>
              <w:jc w:val="center"/>
              <w:rPr>
                <w:rFonts w:ascii="Times New Roman" w:hAnsi="Times New Roman" w:eastAsia="仿宋" w:cs="Times New Roman"/>
                <w:sz w:val="24"/>
                <w:szCs w:val="24"/>
              </w:rPr>
            </w:pPr>
            <w:r>
              <w:rPr>
                <w:rFonts w:ascii="Times New Roman" w:hAnsi="Times New Roman" w:eastAsia="仿宋" w:cs="Times New Roman"/>
                <w:sz w:val="24"/>
                <w:szCs w:val="24"/>
              </w:rPr>
              <w:t>16</w:t>
            </w:r>
            <w:r>
              <w:rPr>
                <w:rFonts w:ascii="Times New Roman" w:hAnsi="仿宋" w:eastAsia="仿宋" w:cs="Times New Roman"/>
                <w:sz w:val="24"/>
                <w:szCs w:val="24"/>
              </w:rPr>
              <w:t>分</w:t>
            </w:r>
          </w:p>
        </w:tc>
        <w:tc>
          <w:tcPr>
            <w:tcW w:w="2166" w:type="dxa"/>
            <w:vAlign w:val="center"/>
          </w:tcPr>
          <w:p w14:paraId="79EF2103">
            <w:pPr>
              <w:ind w:firstLine="796" w:firstLineChars="332"/>
              <w:rPr>
                <w:rFonts w:ascii="Times New Roman" w:hAnsi="Times New Roman" w:eastAsia="仿宋" w:cs="Times New Roman"/>
                <w:sz w:val="24"/>
                <w:szCs w:val="24"/>
              </w:rPr>
            </w:pPr>
            <w:r>
              <w:rPr>
                <w:rFonts w:ascii="Times New Roman" w:hAnsi="仿宋" w:eastAsia="仿宋" w:cs="Times New Roman"/>
                <w:sz w:val="24"/>
                <w:szCs w:val="24"/>
              </w:rPr>
              <w:t>良</w:t>
            </w:r>
          </w:p>
        </w:tc>
      </w:tr>
      <w:tr w14:paraId="7B28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vAlign w:val="center"/>
          </w:tcPr>
          <w:p w14:paraId="7631829B">
            <w:pPr>
              <w:ind w:firstLine="420"/>
              <w:rPr>
                <w:rFonts w:ascii="Times New Roman" w:hAnsi="Times New Roman" w:eastAsia="仿宋" w:cs="Times New Roman"/>
                <w:sz w:val="24"/>
                <w:szCs w:val="24"/>
              </w:rPr>
            </w:pPr>
            <w:r>
              <w:rPr>
                <w:rFonts w:ascii="Times New Roman" w:hAnsi="仿宋" w:eastAsia="仿宋" w:cs="Times New Roman"/>
                <w:sz w:val="24"/>
                <w:szCs w:val="24"/>
              </w:rPr>
              <w:t>项目产出指标</w:t>
            </w:r>
          </w:p>
        </w:tc>
        <w:tc>
          <w:tcPr>
            <w:tcW w:w="2166" w:type="dxa"/>
            <w:vAlign w:val="center"/>
          </w:tcPr>
          <w:p w14:paraId="47805FEA">
            <w:pPr>
              <w:ind w:firstLine="720" w:firstLineChars="300"/>
              <w:jc w:val="left"/>
              <w:textAlignment w:val="top"/>
              <w:rPr>
                <w:rFonts w:ascii="Times New Roman" w:hAnsi="Times New Roman" w:eastAsia="仿宋" w:cs="Times New Roman"/>
                <w:sz w:val="24"/>
                <w:szCs w:val="24"/>
              </w:rPr>
            </w:pPr>
            <w:r>
              <w:rPr>
                <w:rFonts w:ascii="Times New Roman" w:hAnsi="Times New Roman" w:eastAsia="仿宋" w:cs="Times New Roman"/>
                <w:sz w:val="24"/>
                <w:szCs w:val="24"/>
              </w:rPr>
              <w:t>40</w:t>
            </w:r>
            <w:r>
              <w:rPr>
                <w:rFonts w:ascii="Times New Roman" w:hAnsi="仿宋" w:eastAsia="仿宋" w:cs="Times New Roman"/>
                <w:sz w:val="24"/>
                <w:szCs w:val="24"/>
              </w:rPr>
              <w:t>分</w:t>
            </w:r>
          </w:p>
        </w:tc>
        <w:tc>
          <w:tcPr>
            <w:tcW w:w="2311" w:type="dxa"/>
            <w:vAlign w:val="center"/>
          </w:tcPr>
          <w:p w14:paraId="2CEEED11">
            <w:pPr>
              <w:jc w:val="center"/>
              <w:textAlignment w:val="top"/>
              <w:rPr>
                <w:rFonts w:ascii="Times New Roman" w:hAnsi="Times New Roman" w:eastAsia="仿宋" w:cs="Times New Roman"/>
                <w:sz w:val="24"/>
                <w:szCs w:val="24"/>
              </w:rPr>
            </w:pPr>
            <w:r>
              <w:rPr>
                <w:rFonts w:ascii="Times New Roman" w:hAnsi="Times New Roman" w:eastAsia="仿宋" w:cs="Times New Roman"/>
                <w:sz w:val="24"/>
                <w:szCs w:val="24"/>
              </w:rPr>
              <w:t>35</w:t>
            </w:r>
            <w:r>
              <w:rPr>
                <w:rFonts w:ascii="Times New Roman" w:hAnsi="仿宋" w:eastAsia="仿宋" w:cs="Times New Roman"/>
                <w:sz w:val="24"/>
                <w:szCs w:val="24"/>
              </w:rPr>
              <w:t>分</w:t>
            </w:r>
          </w:p>
        </w:tc>
        <w:tc>
          <w:tcPr>
            <w:tcW w:w="2166" w:type="dxa"/>
            <w:vAlign w:val="center"/>
          </w:tcPr>
          <w:p w14:paraId="6E339DBD">
            <w:pPr>
              <w:ind w:firstLine="796" w:firstLineChars="332"/>
              <w:jc w:val="left"/>
              <w:rPr>
                <w:rFonts w:ascii="Times New Roman" w:hAnsi="Times New Roman" w:eastAsia="仿宋" w:cs="Times New Roman"/>
                <w:sz w:val="24"/>
                <w:szCs w:val="24"/>
              </w:rPr>
            </w:pPr>
            <w:r>
              <w:rPr>
                <w:rFonts w:ascii="Times New Roman" w:hAnsi="仿宋" w:eastAsia="仿宋" w:cs="Times New Roman"/>
                <w:sz w:val="24"/>
                <w:szCs w:val="24"/>
              </w:rPr>
              <w:t>良</w:t>
            </w:r>
          </w:p>
        </w:tc>
      </w:tr>
      <w:tr w14:paraId="71B1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vAlign w:val="center"/>
          </w:tcPr>
          <w:p w14:paraId="41B4CC2B">
            <w:pPr>
              <w:ind w:firstLine="420"/>
              <w:rPr>
                <w:rFonts w:ascii="Times New Roman" w:hAnsi="Times New Roman" w:eastAsia="仿宋" w:cs="Times New Roman"/>
                <w:sz w:val="24"/>
                <w:szCs w:val="24"/>
              </w:rPr>
            </w:pPr>
            <w:r>
              <w:rPr>
                <w:rFonts w:ascii="Times New Roman" w:hAnsi="仿宋" w:eastAsia="仿宋" w:cs="Times New Roman"/>
                <w:sz w:val="24"/>
                <w:szCs w:val="24"/>
              </w:rPr>
              <w:t>项目效果指标</w:t>
            </w:r>
          </w:p>
        </w:tc>
        <w:tc>
          <w:tcPr>
            <w:tcW w:w="2166" w:type="dxa"/>
            <w:vAlign w:val="center"/>
          </w:tcPr>
          <w:p w14:paraId="4E1BA973">
            <w:pPr>
              <w:ind w:firstLine="720" w:firstLineChars="300"/>
              <w:jc w:val="left"/>
              <w:textAlignment w:val="top"/>
              <w:rPr>
                <w:rFonts w:ascii="Times New Roman" w:hAnsi="Times New Roman" w:eastAsia="仿宋" w:cs="Times New Roman"/>
                <w:sz w:val="24"/>
                <w:szCs w:val="24"/>
              </w:rPr>
            </w:pPr>
            <w:r>
              <w:rPr>
                <w:rFonts w:ascii="Times New Roman" w:hAnsi="Times New Roman" w:eastAsia="仿宋" w:cs="Times New Roman"/>
                <w:sz w:val="24"/>
                <w:szCs w:val="24"/>
              </w:rPr>
              <w:t>40</w:t>
            </w:r>
            <w:r>
              <w:rPr>
                <w:rFonts w:ascii="Times New Roman" w:hAnsi="仿宋" w:eastAsia="仿宋" w:cs="Times New Roman"/>
                <w:sz w:val="24"/>
                <w:szCs w:val="24"/>
              </w:rPr>
              <w:t>分</w:t>
            </w:r>
          </w:p>
        </w:tc>
        <w:tc>
          <w:tcPr>
            <w:tcW w:w="2311" w:type="dxa"/>
            <w:vAlign w:val="center"/>
          </w:tcPr>
          <w:p w14:paraId="1219F621">
            <w:pPr>
              <w:jc w:val="center"/>
              <w:textAlignment w:val="top"/>
              <w:rPr>
                <w:rFonts w:ascii="Times New Roman" w:hAnsi="Times New Roman" w:eastAsia="仿宋" w:cs="Times New Roman"/>
                <w:sz w:val="24"/>
                <w:szCs w:val="24"/>
              </w:rPr>
            </w:pPr>
            <w:r>
              <w:rPr>
                <w:rFonts w:ascii="Times New Roman" w:hAnsi="Times New Roman" w:eastAsia="仿宋" w:cs="Times New Roman"/>
                <w:sz w:val="24"/>
                <w:szCs w:val="24"/>
              </w:rPr>
              <w:t>40</w:t>
            </w:r>
            <w:r>
              <w:rPr>
                <w:rFonts w:ascii="Times New Roman" w:hAnsi="仿宋" w:eastAsia="仿宋" w:cs="Times New Roman"/>
                <w:sz w:val="24"/>
                <w:szCs w:val="24"/>
              </w:rPr>
              <w:t>分</w:t>
            </w:r>
          </w:p>
        </w:tc>
        <w:tc>
          <w:tcPr>
            <w:tcW w:w="2166" w:type="dxa"/>
            <w:vAlign w:val="center"/>
          </w:tcPr>
          <w:p w14:paraId="799C80EC">
            <w:pPr>
              <w:ind w:firstLine="796" w:firstLineChars="332"/>
              <w:jc w:val="left"/>
              <w:rPr>
                <w:rFonts w:ascii="Times New Roman" w:hAnsi="Times New Roman" w:eastAsia="仿宋" w:cs="Times New Roman"/>
                <w:sz w:val="24"/>
                <w:szCs w:val="24"/>
              </w:rPr>
            </w:pPr>
            <w:r>
              <w:rPr>
                <w:rFonts w:ascii="Times New Roman" w:hAnsi="仿宋" w:eastAsia="仿宋" w:cs="Times New Roman"/>
                <w:sz w:val="24"/>
                <w:szCs w:val="24"/>
              </w:rPr>
              <w:t>优</w:t>
            </w:r>
          </w:p>
        </w:tc>
      </w:tr>
      <w:tr w14:paraId="4517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2276" w:type="dxa"/>
            <w:tcBorders>
              <w:top w:val="single" w:color="008000" w:sz="6" w:space="0"/>
            </w:tcBorders>
            <w:vAlign w:val="center"/>
          </w:tcPr>
          <w:p w14:paraId="6EFA373D">
            <w:pPr>
              <w:ind w:firstLine="420"/>
              <w:rPr>
                <w:rFonts w:ascii="Times New Roman" w:hAnsi="Times New Roman" w:eastAsia="仿宋" w:cs="Times New Roman"/>
                <w:sz w:val="24"/>
                <w:szCs w:val="24"/>
              </w:rPr>
            </w:pPr>
            <w:r>
              <w:rPr>
                <w:rFonts w:ascii="Times New Roman" w:hAnsi="仿宋" w:eastAsia="仿宋" w:cs="Times New Roman"/>
                <w:sz w:val="24"/>
                <w:szCs w:val="24"/>
              </w:rPr>
              <w:t>综合绩效</w:t>
            </w:r>
          </w:p>
        </w:tc>
        <w:tc>
          <w:tcPr>
            <w:tcW w:w="2166" w:type="dxa"/>
            <w:tcBorders>
              <w:top w:val="single" w:color="008000" w:sz="6" w:space="0"/>
            </w:tcBorders>
            <w:vAlign w:val="center"/>
          </w:tcPr>
          <w:p w14:paraId="72F3FCC2">
            <w:pPr>
              <w:ind w:firstLine="720" w:firstLineChars="300"/>
              <w:jc w:val="left"/>
              <w:rPr>
                <w:rFonts w:ascii="Times New Roman" w:hAnsi="Times New Roman" w:eastAsia="仿宋" w:cs="Times New Roman"/>
                <w:sz w:val="24"/>
                <w:szCs w:val="24"/>
              </w:rPr>
            </w:pPr>
            <w:r>
              <w:rPr>
                <w:rFonts w:ascii="Times New Roman" w:hAnsi="Times New Roman" w:eastAsia="仿宋" w:cs="Times New Roman"/>
                <w:sz w:val="24"/>
                <w:szCs w:val="24"/>
              </w:rPr>
              <w:t>100</w:t>
            </w:r>
            <w:r>
              <w:rPr>
                <w:rFonts w:ascii="Times New Roman" w:hAnsi="仿宋" w:eastAsia="仿宋" w:cs="Times New Roman"/>
                <w:sz w:val="24"/>
                <w:szCs w:val="24"/>
              </w:rPr>
              <w:t>分</w:t>
            </w:r>
          </w:p>
        </w:tc>
        <w:tc>
          <w:tcPr>
            <w:tcW w:w="2311" w:type="dxa"/>
            <w:tcBorders>
              <w:top w:val="single" w:color="008000" w:sz="6" w:space="0"/>
            </w:tcBorders>
            <w:vAlign w:val="center"/>
          </w:tcPr>
          <w:p w14:paraId="241A5EFF">
            <w:pPr>
              <w:jc w:val="center"/>
              <w:rPr>
                <w:rFonts w:ascii="Times New Roman" w:hAnsi="Times New Roman" w:eastAsia="仿宋" w:cs="Times New Roman"/>
                <w:sz w:val="24"/>
                <w:szCs w:val="24"/>
              </w:rPr>
            </w:pPr>
            <w:r>
              <w:rPr>
                <w:rFonts w:ascii="Times New Roman" w:hAnsi="Times New Roman" w:eastAsia="仿宋" w:cs="Times New Roman"/>
                <w:sz w:val="24"/>
                <w:szCs w:val="24"/>
              </w:rPr>
              <w:t>91</w:t>
            </w:r>
            <w:r>
              <w:rPr>
                <w:rFonts w:ascii="Times New Roman" w:hAnsi="仿宋" w:eastAsia="仿宋" w:cs="Times New Roman"/>
                <w:sz w:val="24"/>
                <w:szCs w:val="24"/>
              </w:rPr>
              <w:t>分</w:t>
            </w:r>
          </w:p>
        </w:tc>
        <w:tc>
          <w:tcPr>
            <w:tcW w:w="2166" w:type="dxa"/>
            <w:tcBorders>
              <w:top w:val="single" w:color="008000" w:sz="6" w:space="0"/>
            </w:tcBorders>
            <w:vAlign w:val="center"/>
          </w:tcPr>
          <w:p w14:paraId="6AE7AABD">
            <w:pPr>
              <w:ind w:firstLine="796" w:firstLineChars="332"/>
              <w:jc w:val="left"/>
              <w:rPr>
                <w:rFonts w:ascii="Times New Roman" w:hAnsi="Times New Roman" w:eastAsia="仿宋" w:cs="Times New Roman"/>
                <w:sz w:val="24"/>
                <w:szCs w:val="24"/>
              </w:rPr>
            </w:pPr>
            <w:r>
              <w:rPr>
                <w:rFonts w:ascii="Times New Roman" w:hAnsi="仿宋" w:eastAsia="仿宋" w:cs="Times New Roman"/>
                <w:sz w:val="24"/>
                <w:szCs w:val="24"/>
              </w:rPr>
              <w:t>优</w:t>
            </w:r>
          </w:p>
        </w:tc>
      </w:tr>
    </w:tbl>
    <w:p w14:paraId="1806909C">
      <w:pPr>
        <w:spacing w:line="440" w:lineRule="exact"/>
        <w:jc w:val="left"/>
        <w:rPr>
          <w:rFonts w:ascii="Times New Roman" w:hAnsi="Times New Roman" w:eastAsia="仿宋" w:cs="Times New Roman"/>
          <w:b/>
        </w:rPr>
      </w:pPr>
    </w:p>
    <w:p w14:paraId="66468033">
      <w:pPr>
        <w:spacing w:line="500" w:lineRule="exact"/>
        <w:ind w:firstLine="422" w:firstLineChars="150"/>
        <w:jc w:val="left"/>
        <w:rPr>
          <w:rFonts w:ascii="Times New Roman" w:hAnsi="Times New Roman" w:eastAsia="仿宋" w:cs="Times New Roman"/>
          <w:b/>
          <w:sz w:val="28"/>
          <w:szCs w:val="28"/>
        </w:rPr>
      </w:pPr>
      <w:r>
        <w:rPr>
          <w:rFonts w:ascii="Times New Roman" w:hAnsi="仿宋" w:eastAsia="仿宋" w:cs="Times New Roman"/>
          <w:b/>
          <w:sz w:val="28"/>
          <w:szCs w:val="28"/>
        </w:rPr>
        <w:t>四、评价工作组组成名单</w:t>
      </w:r>
    </w:p>
    <w:p w14:paraId="6769E5BC">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项目负责人：杨汉生</w:t>
      </w:r>
    </w:p>
    <w:p w14:paraId="5A7A27A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工作人员：吴芳、习入丹</w:t>
      </w:r>
    </w:p>
    <w:p w14:paraId="67C5F557">
      <w:pPr>
        <w:snapToGrid w:val="0"/>
        <w:spacing w:line="500" w:lineRule="exact"/>
        <w:ind w:firstLine="562" w:firstLineChars="200"/>
        <w:rPr>
          <w:rFonts w:ascii="Times New Roman" w:hAnsi="Times New Roman" w:eastAsia="仿宋" w:cs="Times New Roman"/>
          <w:b/>
          <w:sz w:val="28"/>
          <w:szCs w:val="28"/>
        </w:rPr>
      </w:pPr>
    </w:p>
    <w:p w14:paraId="6574F53A">
      <w:pPr>
        <w:snapToGrid w:val="0"/>
        <w:spacing w:line="500" w:lineRule="exact"/>
        <w:ind w:firstLine="562" w:firstLineChars="200"/>
        <w:rPr>
          <w:rFonts w:ascii="Times New Roman" w:hAnsi="Times New Roman" w:eastAsia="仿宋" w:cs="Times New Roman"/>
          <w:b/>
          <w:sz w:val="28"/>
          <w:szCs w:val="28"/>
        </w:rPr>
      </w:pPr>
      <w:r>
        <w:rPr>
          <w:rFonts w:ascii="Times New Roman" w:hAnsi="仿宋" w:eastAsia="仿宋" w:cs="Times New Roman"/>
          <w:b/>
          <w:sz w:val="28"/>
          <w:szCs w:val="28"/>
        </w:rPr>
        <w:t>五、主要评价方法概述</w:t>
      </w:r>
    </w:p>
    <w:p w14:paraId="62A08057">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本次绩效评价采用目标比较法、公众评价法、统计计算法、实地考察、定性与定量相结合的方法。</w:t>
      </w:r>
    </w:p>
    <w:p w14:paraId="4365A43D">
      <w:pPr>
        <w:spacing w:line="500" w:lineRule="exact"/>
        <w:ind w:firstLine="562" w:firstLineChars="200"/>
        <w:jc w:val="left"/>
        <w:rPr>
          <w:rFonts w:ascii="Times New Roman" w:hAnsi="Times New Roman" w:eastAsia="仿宋" w:cs="Times New Roman"/>
          <w:b/>
          <w:sz w:val="28"/>
          <w:szCs w:val="28"/>
        </w:rPr>
      </w:pPr>
    </w:p>
    <w:p w14:paraId="02EF2A71">
      <w:pPr>
        <w:spacing w:line="500" w:lineRule="exact"/>
        <w:ind w:firstLine="562" w:firstLineChars="200"/>
        <w:jc w:val="left"/>
        <w:rPr>
          <w:rFonts w:ascii="Times New Roman" w:hAnsi="Times New Roman" w:eastAsia="仿宋" w:cs="Times New Roman"/>
          <w:b/>
          <w:sz w:val="28"/>
          <w:szCs w:val="28"/>
        </w:rPr>
      </w:pPr>
      <w:r>
        <w:rPr>
          <w:rFonts w:ascii="Times New Roman" w:hAnsi="仿宋" w:eastAsia="仿宋" w:cs="Times New Roman"/>
          <w:b/>
          <w:sz w:val="28"/>
          <w:szCs w:val="28"/>
        </w:rPr>
        <w:t>六、绩效评价等级</w:t>
      </w:r>
    </w:p>
    <w:p w14:paraId="53977B80">
      <w:pPr>
        <w:snapToGrid w:val="0"/>
        <w:spacing w:line="500" w:lineRule="exact"/>
        <w:ind w:firstLine="560" w:firstLineChars="200"/>
        <w:rPr>
          <w:rFonts w:ascii="Times New Roman" w:hAnsi="Times New Roman" w:eastAsia="仿宋" w:cs="Times New Roman"/>
          <w:b/>
          <w:sz w:val="28"/>
          <w:szCs w:val="28"/>
          <w:highlight w:val="yellow"/>
        </w:rPr>
      </w:pPr>
      <w:r>
        <w:rPr>
          <w:rFonts w:ascii="Times New Roman" w:hAnsi="仿宋" w:eastAsia="仿宋" w:cs="Times New Roman"/>
          <w:sz w:val="28"/>
          <w:szCs w:val="28"/>
        </w:rPr>
        <w:t>本次绩效评价等级，系依据武汉市硚口区财政局制订的《</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年区直预算绩效评价及项目支出绩效执行监控工作方案》的规定将评分结果类型分为</w:t>
      </w:r>
      <w:r>
        <w:rPr>
          <w:rFonts w:ascii="Times New Roman" w:hAnsi="Times New Roman" w:eastAsia="仿宋" w:cs="Times New Roman"/>
          <w:sz w:val="28"/>
          <w:szCs w:val="28"/>
        </w:rPr>
        <w:t>A</w:t>
      </w:r>
      <w:r>
        <w:rPr>
          <w:rFonts w:ascii="Times New Roman" w:hAnsi="仿宋" w:eastAsia="仿宋" w:cs="Times New Roman"/>
          <w:sz w:val="28"/>
          <w:szCs w:val="28"/>
        </w:rPr>
        <w:t>（</w:t>
      </w:r>
      <w:r>
        <w:rPr>
          <w:rFonts w:ascii="Times New Roman" w:hAnsi="Times New Roman" w:eastAsia="仿宋" w:cs="Times New Roman"/>
          <w:sz w:val="28"/>
          <w:szCs w:val="28"/>
        </w:rPr>
        <w:t>≥90</w:t>
      </w:r>
      <w:r>
        <w:rPr>
          <w:rFonts w:ascii="Times New Roman" w:hAnsi="仿宋" w:eastAsia="仿宋" w:cs="Times New Roman"/>
          <w:sz w:val="28"/>
          <w:szCs w:val="28"/>
        </w:rPr>
        <w:t>分～</w:t>
      </w:r>
      <w:r>
        <w:rPr>
          <w:rFonts w:ascii="Times New Roman" w:hAnsi="Times New Roman" w:eastAsia="仿宋" w:cs="Times New Roman"/>
          <w:sz w:val="28"/>
          <w:szCs w:val="28"/>
        </w:rPr>
        <w:t>100</w:t>
      </w:r>
      <w:r>
        <w:rPr>
          <w:rFonts w:ascii="Times New Roman" w:hAnsi="仿宋" w:eastAsia="仿宋" w:cs="Times New Roman"/>
          <w:sz w:val="28"/>
          <w:szCs w:val="28"/>
        </w:rPr>
        <w:t>分）、</w:t>
      </w:r>
      <w:r>
        <w:rPr>
          <w:rFonts w:ascii="Times New Roman" w:hAnsi="Times New Roman" w:eastAsia="仿宋" w:cs="Times New Roman"/>
          <w:sz w:val="28"/>
          <w:szCs w:val="28"/>
        </w:rPr>
        <w:t>B</w:t>
      </w:r>
      <w:r>
        <w:rPr>
          <w:rFonts w:ascii="Times New Roman" w:hAnsi="仿宋" w:eastAsia="仿宋" w:cs="Times New Roman"/>
          <w:sz w:val="28"/>
          <w:szCs w:val="28"/>
        </w:rPr>
        <w:t>（</w:t>
      </w:r>
      <w:r>
        <w:rPr>
          <w:rFonts w:ascii="Times New Roman" w:hAnsi="Times New Roman" w:eastAsia="仿宋" w:cs="Times New Roman"/>
          <w:sz w:val="28"/>
          <w:szCs w:val="28"/>
        </w:rPr>
        <w:t>≥80</w:t>
      </w:r>
      <w:r>
        <w:rPr>
          <w:rFonts w:ascii="Times New Roman" w:hAnsi="仿宋" w:eastAsia="仿宋" w:cs="Times New Roman"/>
          <w:sz w:val="28"/>
          <w:szCs w:val="28"/>
        </w:rPr>
        <w:t>分～</w:t>
      </w:r>
      <w:r>
        <w:rPr>
          <w:rFonts w:ascii="Times New Roman" w:hAnsi="Times New Roman" w:eastAsia="仿宋" w:cs="Times New Roman"/>
          <w:sz w:val="28"/>
          <w:szCs w:val="28"/>
        </w:rPr>
        <w:t>90</w:t>
      </w:r>
      <w:r>
        <w:rPr>
          <w:rFonts w:ascii="Times New Roman" w:hAnsi="仿宋" w:eastAsia="仿宋" w:cs="Times New Roman"/>
          <w:sz w:val="28"/>
          <w:szCs w:val="28"/>
        </w:rPr>
        <w:t>分）、</w:t>
      </w:r>
      <w:r>
        <w:rPr>
          <w:rFonts w:ascii="Times New Roman" w:hAnsi="Times New Roman" w:eastAsia="仿宋" w:cs="Times New Roman"/>
          <w:sz w:val="28"/>
          <w:szCs w:val="28"/>
        </w:rPr>
        <w:t>C</w:t>
      </w:r>
      <w:r>
        <w:rPr>
          <w:rFonts w:ascii="Times New Roman" w:hAnsi="仿宋" w:eastAsia="仿宋" w:cs="Times New Roman"/>
          <w:sz w:val="28"/>
          <w:szCs w:val="28"/>
        </w:rPr>
        <w:t>（</w:t>
      </w:r>
      <w:r>
        <w:rPr>
          <w:rFonts w:ascii="Times New Roman" w:hAnsi="Times New Roman" w:eastAsia="仿宋" w:cs="Times New Roman"/>
          <w:sz w:val="28"/>
          <w:szCs w:val="28"/>
        </w:rPr>
        <w:t>≥60</w:t>
      </w:r>
      <w:r>
        <w:rPr>
          <w:rFonts w:ascii="Times New Roman" w:hAnsi="仿宋" w:eastAsia="仿宋" w:cs="Times New Roman"/>
          <w:sz w:val="28"/>
          <w:szCs w:val="28"/>
        </w:rPr>
        <w:t>分～</w:t>
      </w:r>
      <w:r>
        <w:rPr>
          <w:rFonts w:ascii="Times New Roman" w:hAnsi="Times New Roman" w:eastAsia="仿宋" w:cs="Times New Roman"/>
          <w:sz w:val="28"/>
          <w:szCs w:val="28"/>
        </w:rPr>
        <w:t>80</w:t>
      </w:r>
      <w:r>
        <w:rPr>
          <w:rFonts w:ascii="Times New Roman" w:hAnsi="仿宋" w:eastAsia="仿宋" w:cs="Times New Roman"/>
          <w:sz w:val="28"/>
          <w:szCs w:val="28"/>
        </w:rPr>
        <w:t>分）、</w:t>
      </w:r>
      <w:r>
        <w:rPr>
          <w:rFonts w:ascii="Times New Roman" w:hAnsi="Times New Roman" w:eastAsia="仿宋" w:cs="Times New Roman"/>
          <w:sz w:val="28"/>
          <w:szCs w:val="28"/>
        </w:rPr>
        <w:t>D</w:t>
      </w:r>
      <w:r>
        <w:rPr>
          <w:rFonts w:ascii="Times New Roman" w:hAnsi="仿宋" w:eastAsia="仿宋" w:cs="Times New Roman"/>
          <w:sz w:val="28"/>
          <w:szCs w:val="28"/>
        </w:rPr>
        <w:t>（</w:t>
      </w:r>
      <w:r>
        <w:rPr>
          <w:rFonts w:ascii="Times New Roman" w:hAnsi="Times New Roman" w:eastAsia="仿宋" w:cs="Times New Roman"/>
          <w:sz w:val="28"/>
          <w:szCs w:val="28"/>
        </w:rPr>
        <w:t>60</w:t>
      </w:r>
      <w:r>
        <w:rPr>
          <w:rFonts w:ascii="Times New Roman" w:hAnsi="仿宋" w:eastAsia="仿宋" w:cs="Times New Roman"/>
          <w:sz w:val="28"/>
          <w:szCs w:val="28"/>
        </w:rPr>
        <w:t>分以下）四种，相对应评价等级为优、良、中、差。</w:t>
      </w:r>
    </w:p>
    <w:p w14:paraId="4DC1041C">
      <w:pPr>
        <w:spacing w:line="500" w:lineRule="exact"/>
        <w:ind w:firstLine="562" w:firstLineChars="200"/>
        <w:jc w:val="left"/>
        <w:rPr>
          <w:rFonts w:ascii="Times New Roman" w:hAnsi="Times New Roman" w:eastAsia="仿宋" w:cs="Times New Roman"/>
          <w:b/>
          <w:sz w:val="28"/>
          <w:szCs w:val="28"/>
        </w:rPr>
      </w:pPr>
    </w:p>
    <w:p w14:paraId="39D12782">
      <w:pPr>
        <w:spacing w:line="500" w:lineRule="exact"/>
        <w:ind w:firstLine="562" w:firstLineChars="200"/>
        <w:jc w:val="left"/>
        <w:rPr>
          <w:rFonts w:ascii="Times New Roman" w:hAnsi="Times New Roman" w:eastAsia="仿宋" w:cs="Times New Roman"/>
          <w:b/>
          <w:sz w:val="28"/>
          <w:szCs w:val="28"/>
        </w:rPr>
      </w:pPr>
      <w:r>
        <w:rPr>
          <w:rFonts w:ascii="Times New Roman" w:hAnsi="仿宋" w:eastAsia="仿宋" w:cs="Times New Roman"/>
          <w:b/>
          <w:sz w:val="28"/>
          <w:szCs w:val="28"/>
        </w:rPr>
        <w:t>七、存在的主要问题及建议概述</w:t>
      </w:r>
    </w:p>
    <w:p w14:paraId="7C917666">
      <w:pPr>
        <w:snapToGrid w:val="0"/>
        <w:spacing w:line="500" w:lineRule="exact"/>
        <w:ind w:firstLine="562" w:firstLineChars="200"/>
        <w:rPr>
          <w:rFonts w:ascii="Times New Roman" w:hAnsi="Times New Roman" w:eastAsia="仿宋" w:cs="Times New Roman"/>
          <w:b/>
          <w:sz w:val="28"/>
          <w:szCs w:val="28"/>
        </w:rPr>
      </w:pPr>
      <w:r>
        <w:rPr>
          <w:rFonts w:ascii="Times New Roman" w:hAnsi="仿宋" w:eastAsia="仿宋" w:cs="Times New Roman"/>
          <w:b/>
          <w:sz w:val="28"/>
          <w:szCs w:val="28"/>
        </w:rPr>
        <w:t>（一）项目实施中主要存在以下问题：</w:t>
      </w:r>
    </w:p>
    <w:p w14:paraId="74C126F9">
      <w:pPr>
        <w:snapToGrid w:val="0"/>
        <w:spacing w:line="500" w:lineRule="exact"/>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年度基层党建综合事务经费项目绩效目标不够细化，不够清晰，无对应的定量指标。</w:t>
      </w:r>
    </w:p>
    <w:p w14:paraId="0508216C">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2.</w:t>
      </w:r>
      <w:r>
        <w:rPr>
          <w:rFonts w:ascii="Times New Roman" w:hAnsi="仿宋" w:eastAsia="仿宋" w:cs="Times New Roman"/>
          <w:bCs/>
          <w:sz w:val="28"/>
          <w:szCs w:val="28"/>
        </w:rPr>
        <w:t>项目资金管理不严格，存在项目之间调剂使用现象。</w:t>
      </w:r>
    </w:p>
    <w:p w14:paraId="669A5008">
      <w:pPr>
        <w:snapToGrid w:val="0"/>
        <w:spacing w:line="500" w:lineRule="exact"/>
        <w:ind w:firstLine="562" w:firstLineChars="200"/>
        <w:rPr>
          <w:rFonts w:ascii="Times New Roman" w:hAnsi="Times New Roman" w:eastAsia="仿宋" w:cs="Times New Roman"/>
          <w:b/>
          <w:sz w:val="28"/>
          <w:szCs w:val="28"/>
        </w:rPr>
      </w:pPr>
      <w:r>
        <w:rPr>
          <w:rFonts w:ascii="Times New Roman" w:hAnsi="仿宋" w:eastAsia="仿宋" w:cs="Times New Roman"/>
          <w:b/>
          <w:sz w:val="28"/>
          <w:szCs w:val="28"/>
        </w:rPr>
        <w:t>（二）建议</w:t>
      </w:r>
    </w:p>
    <w:p w14:paraId="0D929113">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1.</w:t>
      </w:r>
      <w:r>
        <w:rPr>
          <w:rFonts w:ascii="Times New Roman" w:hAnsi="仿宋" w:eastAsia="仿宋" w:cs="Times New Roman"/>
          <w:sz w:val="28"/>
          <w:szCs w:val="28"/>
        </w:rPr>
        <w:t>增强项目预算编制的针对性和科学性，参照以往年度经费的使用情况，结合本年度的社会实际，合理编制项目预算，确定绩效目标；</w:t>
      </w:r>
    </w:p>
    <w:p w14:paraId="7BC13BF6">
      <w:pPr>
        <w:snapToGrid w:val="0"/>
        <w:spacing w:line="500" w:lineRule="exact"/>
        <w:ind w:firstLine="480"/>
        <w:rPr>
          <w:rFonts w:ascii="Times New Roman" w:hAnsi="Times New Roman" w:eastAsia="仿宋" w:cs="Times New Roman"/>
          <w:sz w:val="28"/>
          <w:szCs w:val="28"/>
        </w:rPr>
      </w:pPr>
      <w:r>
        <w:rPr>
          <w:rFonts w:ascii="Times New Roman" w:hAnsi="Times New Roman" w:eastAsia="仿宋" w:cs="Times New Roman"/>
          <w:color w:val="000000"/>
          <w:sz w:val="28"/>
          <w:szCs w:val="28"/>
        </w:rPr>
        <w:t>2.</w:t>
      </w:r>
      <w:r>
        <w:rPr>
          <w:rFonts w:ascii="Times New Roman" w:hAnsi="仿宋" w:eastAsia="仿宋" w:cs="Times New Roman"/>
          <w:sz w:val="28"/>
          <w:szCs w:val="28"/>
        </w:rPr>
        <w:t>根据项目绩效完成情况，结合实际，及时调整预算，并履行预算调整手续，提高预算资金使用效率和效益。</w:t>
      </w:r>
    </w:p>
    <w:p w14:paraId="162F6339">
      <w:pPr>
        <w:snapToGrid w:val="0"/>
        <w:spacing w:line="440" w:lineRule="exact"/>
        <w:ind w:firstLine="420" w:firstLineChars="200"/>
        <w:rPr>
          <w:rFonts w:ascii="Times New Roman" w:hAnsi="Times New Roman" w:eastAsia="仿宋" w:cs="Times New Roman"/>
          <w:highlight w:val="yellow"/>
        </w:rPr>
      </w:pPr>
    </w:p>
    <w:p w14:paraId="453205F0">
      <w:pPr>
        <w:snapToGrid w:val="0"/>
        <w:spacing w:afterLines="50" w:line="420" w:lineRule="exact"/>
        <w:ind w:firstLine="480"/>
        <w:rPr>
          <w:rFonts w:ascii="Times New Roman" w:hAnsi="Times New Roman" w:eastAsia="仿宋" w:cs="Times New Roman"/>
          <w:highlight w:val="yellow"/>
        </w:rPr>
      </w:pPr>
    </w:p>
    <w:p w14:paraId="4DCF61CD">
      <w:pPr>
        <w:spacing w:line="760" w:lineRule="exact"/>
        <w:ind w:firstLine="3445" w:firstLineChars="1634"/>
        <w:rPr>
          <w:rFonts w:ascii="Times New Roman" w:hAnsi="Times New Roman" w:eastAsia="仿宋" w:cs="Times New Roman"/>
          <w:b/>
          <w:bCs/>
          <w:highlight w:val="yellow"/>
        </w:rPr>
      </w:pPr>
    </w:p>
    <w:p w14:paraId="6F81D7AB">
      <w:pPr>
        <w:spacing w:line="760" w:lineRule="exact"/>
        <w:ind w:firstLine="3445" w:firstLineChars="1634"/>
        <w:rPr>
          <w:rFonts w:ascii="Times New Roman" w:hAnsi="Times New Roman" w:eastAsia="仿宋" w:cs="Times New Roman"/>
          <w:b/>
          <w:bCs/>
          <w:highlight w:val="yellow"/>
        </w:rPr>
      </w:pPr>
    </w:p>
    <w:p w14:paraId="6B80A062">
      <w:pPr>
        <w:spacing w:line="760" w:lineRule="exact"/>
        <w:ind w:firstLine="3445" w:firstLineChars="1634"/>
        <w:rPr>
          <w:rFonts w:ascii="Times New Roman" w:hAnsi="Times New Roman" w:eastAsia="仿宋" w:cs="Times New Roman"/>
          <w:b/>
          <w:bCs/>
          <w:highlight w:val="yellow"/>
        </w:rPr>
      </w:pPr>
    </w:p>
    <w:p w14:paraId="338E3AF1">
      <w:pPr>
        <w:spacing w:line="760" w:lineRule="exact"/>
        <w:rPr>
          <w:rFonts w:ascii="Times New Roman" w:hAnsi="Times New Roman" w:eastAsia="仿宋" w:cs="Times New Roman"/>
          <w:b/>
          <w:bCs/>
          <w:highlight w:val="yellow"/>
        </w:rPr>
      </w:pPr>
    </w:p>
    <w:p w14:paraId="019532FB">
      <w:pPr>
        <w:spacing w:line="760" w:lineRule="exact"/>
        <w:rPr>
          <w:rFonts w:ascii="Times New Roman" w:hAnsi="Times New Roman" w:eastAsia="仿宋" w:cs="Times New Roman"/>
          <w:b/>
          <w:bCs/>
          <w:highlight w:val="yellow"/>
        </w:rPr>
      </w:pPr>
    </w:p>
    <w:p w14:paraId="32D40A31">
      <w:pPr>
        <w:spacing w:line="760" w:lineRule="exact"/>
        <w:jc w:val="center"/>
        <w:rPr>
          <w:rFonts w:ascii="Times New Roman" w:hAnsi="Times New Roman" w:eastAsia="仿宋" w:cs="Times New Roman"/>
          <w:b/>
          <w:bCs/>
          <w:sz w:val="36"/>
          <w:szCs w:val="36"/>
          <w:highlight w:val="yellow"/>
        </w:rPr>
      </w:pPr>
      <w:r>
        <w:rPr>
          <w:rFonts w:ascii="Times New Roman" w:hAnsi="仿宋" w:eastAsia="仿宋" w:cs="Times New Roman"/>
          <w:b/>
          <w:bCs/>
          <w:sz w:val="36"/>
          <w:szCs w:val="36"/>
        </w:rPr>
        <w:t>第二部分</w:t>
      </w:r>
      <w:r>
        <w:rPr>
          <w:rFonts w:ascii="Times New Roman" w:hAnsi="Times New Roman" w:eastAsia="仿宋" w:cs="Times New Roman"/>
          <w:b/>
          <w:bCs/>
          <w:sz w:val="36"/>
          <w:szCs w:val="36"/>
        </w:rPr>
        <w:t xml:space="preserve">  </w:t>
      </w:r>
      <w:r>
        <w:rPr>
          <w:rFonts w:ascii="Times New Roman" w:hAnsi="仿宋" w:eastAsia="仿宋" w:cs="Times New Roman"/>
          <w:b/>
          <w:bCs/>
          <w:sz w:val="36"/>
          <w:szCs w:val="36"/>
        </w:rPr>
        <w:t>正文</w:t>
      </w:r>
    </w:p>
    <w:p w14:paraId="1D852422">
      <w:pPr>
        <w:spacing w:line="720" w:lineRule="exact"/>
        <w:ind w:firstLine="560"/>
        <w:jc w:val="center"/>
        <w:rPr>
          <w:rFonts w:ascii="Times New Roman" w:hAnsi="Times New Roman" w:eastAsia="仿宋" w:cs="Times New Roman"/>
          <w:sz w:val="28"/>
          <w:szCs w:val="28"/>
          <w:highlight w:val="yellow"/>
        </w:rPr>
      </w:pPr>
    </w:p>
    <w:p w14:paraId="0C3154AE">
      <w:pPr>
        <w:pStyle w:val="2"/>
        <w:spacing w:line="500" w:lineRule="exact"/>
        <w:ind w:left="420" w:leftChars="200"/>
        <w:rPr>
          <w:rFonts w:ascii="Times New Roman" w:hAnsi="Times New Roman" w:eastAsia="仿宋" w:cs="Times New Roman"/>
          <w:szCs w:val="28"/>
          <w:highlight w:val="yellow"/>
        </w:rPr>
      </w:pPr>
      <w:bookmarkStart w:id="1" w:name="_Toc23664"/>
      <w:bookmarkStart w:id="2" w:name="_Toc387957799"/>
      <w:bookmarkStart w:id="3" w:name="_Toc361304672"/>
      <w:bookmarkStart w:id="4" w:name="_Toc361304673"/>
      <w:bookmarkStart w:id="5" w:name="_Toc387957800"/>
      <w:r>
        <w:rPr>
          <w:rFonts w:ascii="Times New Roman" w:hAnsi="仿宋" w:eastAsia="仿宋" w:cs="Times New Roman"/>
          <w:szCs w:val="28"/>
        </w:rPr>
        <w:t>一、项目基本情况</w:t>
      </w:r>
      <w:bookmarkEnd w:id="1"/>
    </w:p>
    <w:p w14:paraId="29EC9725">
      <w:pPr>
        <w:pStyle w:val="3"/>
        <w:spacing w:line="500" w:lineRule="exact"/>
        <w:ind w:left="482"/>
        <w:rPr>
          <w:rFonts w:ascii="Times New Roman" w:hAnsi="Times New Roman" w:eastAsia="仿宋" w:cs="Times New Roman"/>
          <w:sz w:val="28"/>
          <w:szCs w:val="28"/>
        </w:rPr>
      </w:pPr>
      <w:bookmarkStart w:id="6" w:name="_Toc30193"/>
      <w:r>
        <w:rPr>
          <w:rFonts w:ascii="Times New Roman" w:hAnsi="仿宋" w:eastAsia="仿宋" w:cs="Times New Roman"/>
          <w:sz w:val="28"/>
          <w:szCs w:val="28"/>
        </w:rPr>
        <w:t>（一）项目概况</w:t>
      </w:r>
      <w:bookmarkEnd w:id="6"/>
    </w:p>
    <w:p w14:paraId="6A345338">
      <w:pPr>
        <w:pStyle w:val="11"/>
        <w:spacing w:line="500" w:lineRule="exact"/>
        <w:ind w:left="482"/>
        <w:outlineLvl w:val="2"/>
        <w:rPr>
          <w:rFonts w:ascii="Times New Roman" w:hAnsi="Times New Roman" w:eastAsia="仿宋" w:cs="Times New Roman"/>
          <w:bCs w:val="0"/>
          <w:sz w:val="28"/>
          <w:szCs w:val="28"/>
        </w:rPr>
      </w:pPr>
      <w:bookmarkStart w:id="7" w:name="_Toc12950"/>
      <w:r>
        <w:rPr>
          <w:rFonts w:ascii="Times New Roman" w:hAnsi="Times New Roman" w:eastAsia="仿宋" w:cs="Times New Roman"/>
          <w:bCs w:val="0"/>
          <w:sz w:val="28"/>
          <w:szCs w:val="28"/>
        </w:rPr>
        <w:t>1</w:t>
      </w:r>
      <w:r>
        <w:rPr>
          <w:rFonts w:ascii="Times New Roman" w:hAnsi="仿宋" w:eastAsia="仿宋" w:cs="Times New Roman"/>
          <w:bCs w:val="0"/>
          <w:sz w:val="28"/>
          <w:szCs w:val="28"/>
        </w:rPr>
        <w:t>．项目立项背景</w:t>
      </w:r>
      <w:bookmarkEnd w:id="2"/>
      <w:bookmarkEnd w:id="3"/>
      <w:bookmarkEnd w:id="7"/>
    </w:p>
    <w:p w14:paraId="74624AEC">
      <w:pPr>
        <w:snapToGrid w:val="0"/>
        <w:spacing w:line="500" w:lineRule="exact"/>
        <w:ind w:left="48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）项目立项依据</w:t>
      </w:r>
    </w:p>
    <w:p w14:paraId="213430CB">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①武汉市委组织部《关于调整社区党员教育活动经费标准的函》；</w:t>
      </w:r>
    </w:p>
    <w:p w14:paraId="09EBAF4B">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②按照换届选举时选民总数人均</w:t>
      </w:r>
      <w:r>
        <w:rPr>
          <w:rFonts w:ascii="Times New Roman" w:hAnsi="Times New Roman" w:eastAsia="仿宋" w:cs="Times New Roman"/>
          <w:sz w:val="28"/>
          <w:szCs w:val="28"/>
        </w:rPr>
        <w:t>0.50</w:t>
      </w:r>
      <w:r>
        <w:rPr>
          <w:rFonts w:ascii="Times New Roman" w:hAnsi="仿宋" w:eastAsia="仿宋" w:cs="Times New Roman"/>
          <w:sz w:val="28"/>
          <w:szCs w:val="28"/>
        </w:rPr>
        <w:t>元计算，</w:t>
      </w:r>
      <w:r>
        <w:rPr>
          <w:rFonts w:ascii="Times New Roman" w:hAnsi="Times New Roman" w:eastAsia="仿宋" w:cs="Times New Roman"/>
          <w:sz w:val="28"/>
          <w:szCs w:val="28"/>
        </w:rPr>
        <w:t>4</w:t>
      </w:r>
      <w:r>
        <w:rPr>
          <w:rFonts w:ascii="Times New Roman" w:hAnsi="仿宋" w:eastAsia="仿宋" w:cs="Times New Roman"/>
          <w:sz w:val="28"/>
          <w:szCs w:val="28"/>
        </w:rPr>
        <w:t>万人至</w:t>
      </w:r>
      <w:r>
        <w:rPr>
          <w:rFonts w:ascii="Times New Roman" w:hAnsi="Times New Roman" w:eastAsia="仿宋" w:cs="Times New Roman"/>
          <w:sz w:val="28"/>
          <w:szCs w:val="28"/>
        </w:rPr>
        <w:t>5</w:t>
      </w:r>
      <w:r>
        <w:rPr>
          <w:rFonts w:ascii="Times New Roman" w:hAnsi="仿宋" w:eastAsia="仿宋" w:cs="Times New Roman"/>
          <w:sz w:val="28"/>
          <w:szCs w:val="28"/>
        </w:rPr>
        <w:t>万人</w:t>
      </w:r>
      <w:r>
        <w:rPr>
          <w:rFonts w:ascii="Times New Roman" w:hAnsi="Times New Roman" w:eastAsia="仿宋" w:cs="Times New Roman"/>
          <w:sz w:val="28"/>
          <w:szCs w:val="28"/>
        </w:rPr>
        <w:t>2</w:t>
      </w:r>
      <w:r>
        <w:rPr>
          <w:rFonts w:ascii="Times New Roman" w:hAnsi="仿宋" w:eastAsia="仿宋" w:cs="Times New Roman"/>
          <w:sz w:val="28"/>
          <w:szCs w:val="28"/>
        </w:rPr>
        <w:t>万元。</w:t>
      </w:r>
    </w:p>
    <w:p w14:paraId="4961FB00">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w:t>
      </w:r>
      <w:r>
        <w:rPr>
          <w:rFonts w:ascii="Times New Roman" w:hAnsi="Times New Roman" w:eastAsia="仿宋" w:cs="Times New Roman"/>
          <w:sz w:val="28"/>
          <w:szCs w:val="28"/>
        </w:rPr>
        <w:t xml:space="preserve"> </w:t>
      </w:r>
      <w:r>
        <w:rPr>
          <w:rFonts w:ascii="Times New Roman" w:hAnsi="仿宋" w:eastAsia="仿宋" w:cs="Times New Roman"/>
          <w:sz w:val="28"/>
          <w:szCs w:val="28"/>
        </w:rPr>
        <w:t>项目所属领域</w:t>
      </w:r>
    </w:p>
    <w:p w14:paraId="1B33613D">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本项目属于街道党务党建领域。</w:t>
      </w:r>
    </w:p>
    <w:p w14:paraId="39F710A1">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w:t>
      </w:r>
      <w:r>
        <w:rPr>
          <w:rFonts w:ascii="Times New Roman" w:hAnsi="Times New Roman" w:eastAsia="仿宋" w:cs="Times New Roman"/>
          <w:sz w:val="28"/>
          <w:szCs w:val="28"/>
        </w:rPr>
        <w:t xml:space="preserve"> </w:t>
      </w:r>
      <w:r>
        <w:rPr>
          <w:rFonts w:ascii="Times New Roman" w:hAnsi="仿宋" w:eastAsia="仿宋" w:cs="Times New Roman"/>
          <w:sz w:val="28"/>
          <w:szCs w:val="28"/>
        </w:rPr>
        <w:t>项目性质与特点</w:t>
      </w:r>
    </w:p>
    <w:p w14:paraId="605E5A12">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本项目经费属于公共预算财政拨款，项目属性为持续性项目，项目类型为常年性项目。</w:t>
      </w:r>
    </w:p>
    <w:bookmarkEnd w:id="4"/>
    <w:bookmarkEnd w:id="5"/>
    <w:p w14:paraId="511239DE">
      <w:pPr>
        <w:snapToGrid w:val="0"/>
        <w:spacing w:line="500" w:lineRule="exact"/>
        <w:ind w:firstLine="560" w:firstLineChars="200"/>
        <w:rPr>
          <w:rFonts w:ascii="Times New Roman" w:hAnsi="Times New Roman" w:eastAsia="仿宋" w:cs="Times New Roman"/>
          <w:bCs/>
          <w:sz w:val="28"/>
          <w:szCs w:val="28"/>
        </w:rPr>
      </w:pPr>
      <w:bookmarkStart w:id="8" w:name="_Toc28384"/>
      <w:r>
        <w:rPr>
          <w:rFonts w:ascii="Times New Roman" w:hAnsi="Times New Roman" w:eastAsia="仿宋" w:cs="Times New Roman"/>
          <w:bCs/>
          <w:sz w:val="28"/>
          <w:szCs w:val="28"/>
        </w:rPr>
        <w:t>2</w:t>
      </w:r>
      <w:r>
        <w:rPr>
          <w:rFonts w:ascii="Times New Roman" w:hAnsi="仿宋" w:eastAsia="仿宋" w:cs="Times New Roman"/>
          <w:bCs/>
          <w:sz w:val="28"/>
          <w:szCs w:val="28"/>
        </w:rPr>
        <w:t>．</w:t>
      </w:r>
      <w:bookmarkEnd w:id="8"/>
      <w:bookmarkStart w:id="9" w:name="_Toc31302"/>
      <w:bookmarkStart w:id="10" w:name="_Toc387957801"/>
      <w:bookmarkStart w:id="11" w:name="_Toc406666352"/>
      <w:bookmarkStart w:id="12" w:name="_Toc361304674"/>
      <w:bookmarkStart w:id="13" w:name="_Toc406668025"/>
      <w:bookmarkStart w:id="14" w:name="_Toc10760"/>
      <w:r>
        <w:rPr>
          <w:rFonts w:ascii="Times New Roman" w:hAnsi="仿宋" w:eastAsia="仿宋" w:cs="Times New Roman"/>
          <w:bCs/>
          <w:sz w:val="28"/>
          <w:szCs w:val="28"/>
        </w:rPr>
        <w:t>项目实施情况</w:t>
      </w:r>
      <w:bookmarkEnd w:id="9"/>
    </w:p>
    <w:p w14:paraId="6DC439B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）项目实施单位</w:t>
      </w:r>
    </w:p>
    <w:p w14:paraId="044020F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财政预算单位为武汉市硚口区人民政府六角亭街办事处</w:t>
      </w:r>
      <w:r>
        <w:rPr>
          <w:rFonts w:ascii="Times New Roman" w:hAnsi="Times New Roman" w:eastAsia="仿宋" w:cs="Times New Roman"/>
          <w:sz w:val="28"/>
          <w:szCs w:val="28"/>
        </w:rPr>
        <w:t>(</w:t>
      </w:r>
      <w:r>
        <w:rPr>
          <w:rFonts w:ascii="Times New Roman" w:hAnsi="仿宋" w:eastAsia="仿宋" w:cs="Times New Roman"/>
          <w:sz w:val="28"/>
          <w:szCs w:val="28"/>
        </w:rPr>
        <w:t>以下简称</w:t>
      </w:r>
      <w:r>
        <w:rPr>
          <w:rFonts w:ascii="Times New Roman" w:hAnsi="Times New Roman" w:eastAsia="仿宋" w:cs="Times New Roman"/>
          <w:sz w:val="28"/>
          <w:szCs w:val="28"/>
        </w:rPr>
        <w:t>“</w:t>
      </w:r>
      <w:r>
        <w:rPr>
          <w:rFonts w:ascii="Times New Roman" w:hAnsi="仿宋" w:eastAsia="仿宋" w:cs="Times New Roman"/>
          <w:sz w:val="28"/>
          <w:szCs w:val="28"/>
        </w:rPr>
        <w:t>六角亭街办事处</w:t>
      </w:r>
      <w:r>
        <w:rPr>
          <w:rFonts w:ascii="Times New Roman" w:hAnsi="Times New Roman" w:eastAsia="仿宋" w:cs="Times New Roman"/>
          <w:sz w:val="28"/>
          <w:szCs w:val="28"/>
        </w:rPr>
        <w:t>”</w:t>
      </w:r>
      <w:r>
        <w:rPr>
          <w:rFonts w:ascii="Times New Roman" w:hAnsi="仿宋" w:eastAsia="仿宋" w:cs="Times New Roman"/>
          <w:sz w:val="28"/>
          <w:szCs w:val="28"/>
        </w:rPr>
        <w:t>），项目执行单位为六角亭街办事处。</w:t>
      </w:r>
    </w:p>
    <w:p w14:paraId="3454E69F">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）项目实施周期与地点</w:t>
      </w:r>
    </w:p>
    <w:p w14:paraId="117FA80A">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项目为常年持续性项目，实施地点为六角亭街办事处，地址位于武汉市硚口区利济东街</w:t>
      </w:r>
      <w:r>
        <w:rPr>
          <w:rFonts w:ascii="Times New Roman" w:hAnsi="Times New Roman" w:eastAsia="仿宋" w:cs="Times New Roman"/>
          <w:sz w:val="28"/>
          <w:szCs w:val="28"/>
        </w:rPr>
        <w:t>151</w:t>
      </w:r>
      <w:r>
        <w:rPr>
          <w:rFonts w:ascii="Times New Roman" w:hAnsi="仿宋" w:eastAsia="仿宋" w:cs="Times New Roman"/>
          <w:sz w:val="28"/>
          <w:szCs w:val="28"/>
        </w:rPr>
        <w:t>号（六角亭小学内）。</w:t>
      </w:r>
    </w:p>
    <w:p w14:paraId="17F380F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）项目主要内容</w:t>
      </w:r>
    </w:p>
    <w:p w14:paraId="276DC49F">
      <w:pPr>
        <w:snapToGrid w:val="0"/>
        <w:spacing w:line="500" w:lineRule="exact"/>
        <w:ind w:firstLine="560" w:firstLineChars="200"/>
        <w:rPr>
          <w:rFonts w:ascii="Times New Roman" w:hAnsi="Times New Roman" w:eastAsia="仿宋" w:cs="Times New Roman"/>
          <w:sz w:val="28"/>
          <w:szCs w:val="28"/>
          <w:highlight w:val="yellow"/>
        </w:rPr>
      </w:pP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年度基层党建综合事务经费项目预算</w:t>
      </w:r>
      <w:r>
        <w:rPr>
          <w:rFonts w:ascii="Times New Roman" w:hAnsi="Times New Roman" w:eastAsia="仿宋" w:cs="Times New Roman"/>
          <w:sz w:val="28"/>
          <w:szCs w:val="28"/>
        </w:rPr>
        <w:t>45.69</w:t>
      </w:r>
      <w:r>
        <w:rPr>
          <w:rFonts w:ascii="Times New Roman" w:hAnsi="仿宋" w:eastAsia="仿宋" w:cs="Times New Roman"/>
          <w:sz w:val="28"/>
          <w:szCs w:val="28"/>
        </w:rPr>
        <w:t>万元，主要用于保障基层党组织、纪检小组、人大工委、统战、街道志编纂、基层党建等工作的正常运行。</w:t>
      </w:r>
    </w:p>
    <w:p w14:paraId="5CD16FFD">
      <w:pPr>
        <w:pStyle w:val="11"/>
        <w:spacing w:line="500" w:lineRule="exact"/>
        <w:ind w:left="420" w:leftChars="200"/>
        <w:outlineLvl w:val="2"/>
        <w:rPr>
          <w:rFonts w:ascii="Times New Roman" w:hAnsi="Times New Roman" w:eastAsia="仿宋" w:cs="Times New Roman"/>
          <w:bCs w:val="0"/>
          <w:sz w:val="28"/>
          <w:szCs w:val="28"/>
        </w:rPr>
      </w:pPr>
      <w:bookmarkStart w:id="15" w:name="_Toc4725"/>
      <w:r>
        <w:rPr>
          <w:rFonts w:ascii="Times New Roman" w:hAnsi="Times New Roman" w:eastAsia="仿宋" w:cs="Times New Roman"/>
          <w:bCs w:val="0"/>
          <w:sz w:val="28"/>
          <w:szCs w:val="28"/>
        </w:rPr>
        <w:t>3</w:t>
      </w:r>
      <w:r>
        <w:rPr>
          <w:rFonts w:ascii="Times New Roman" w:hAnsi="仿宋" w:eastAsia="仿宋" w:cs="Times New Roman"/>
          <w:bCs w:val="0"/>
          <w:sz w:val="28"/>
          <w:szCs w:val="28"/>
        </w:rPr>
        <w:t>．项目经费来源和使用情况</w:t>
      </w:r>
      <w:bookmarkEnd w:id="15"/>
    </w:p>
    <w:p w14:paraId="30D0BA6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）项目资金来源概况</w:t>
      </w:r>
    </w:p>
    <w:p w14:paraId="563953C4">
      <w:pPr>
        <w:snapToGrid w:val="0"/>
        <w:spacing w:line="500" w:lineRule="exact"/>
        <w:ind w:firstLine="560" w:firstLineChars="200"/>
        <w:rPr>
          <w:rFonts w:ascii="Times New Roman" w:hAnsi="Times New Roman" w:eastAsia="仿宋" w:cs="Times New Roman"/>
          <w:sz w:val="28"/>
          <w:szCs w:val="28"/>
          <w:highlight w:val="yellow"/>
        </w:rPr>
      </w:pP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w:t>
      </w:r>
      <w:r>
        <w:rPr>
          <w:rFonts w:ascii="Times New Roman" w:hAnsi="Times New Roman" w:eastAsia="仿宋" w:cs="Times New Roman"/>
          <w:sz w:val="28"/>
          <w:szCs w:val="28"/>
        </w:rPr>
        <w:t>45.69</w:t>
      </w:r>
      <w:r>
        <w:rPr>
          <w:rFonts w:ascii="Times New Roman" w:hAnsi="仿宋" w:eastAsia="仿宋" w:cs="Times New Roman"/>
          <w:sz w:val="28"/>
          <w:szCs w:val="28"/>
        </w:rPr>
        <w:t>万元，为区财政拨付资金。</w:t>
      </w:r>
    </w:p>
    <w:p w14:paraId="2AA5606A">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）项目资金使用</w:t>
      </w:r>
      <w:bookmarkEnd w:id="10"/>
      <w:bookmarkEnd w:id="11"/>
      <w:bookmarkEnd w:id="12"/>
      <w:bookmarkEnd w:id="13"/>
      <w:bookmarkEnd w:id="14"/>
      <w:bookmarkStart w:id="16" w:name="_Toc361302024"/>
      <w:bookmarkStart w:id="17" w:name="_Toc361304427"/>
      <w:bookmarkStart w:id="18" w:name="_Toc361304679"/>
      <w:bookmarkStart w:id="19" w:name="_Toc361303718"/>
      <w:bookmarkStart w:id="20" w:name="_Toc361304169"/>
    </w:p>
    <w:p w14:paraId="312FFD40">
      <w:pPr>
        <w:snapToGrid w:val="0"/>
        <w:spacing w:line="5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年度基层党建综合事务经费预算</w:t>
      </w:r>
      <w:r>
        <w:rPr>
          <w:rFonts w:ascii="Times New Roman" w:hAnsi="Times New Roman" w:eastAsia="仿宋" w:cs="Times New Roman"/>
          <w:sz w:val="28"/>
          <w:szCs w:val="28"/>
        </w:rPr>
        <w:t>45.69</w:t>
      </w:r>
      <w:r>
        <w:rPr>
          <w:rFonts w:ascii="Times New Roman" w:hAnsi="仿宋" w:eastAsia="仿宋" w:cs="Times New Roman"/>
          <w:sz w:val="28"/>
          <w:szCs w:val="28"/>
        </w:rPr>
        <w:t>万元，实际支出</w:t>
      </w:r>
      <w:r>
        <w:rPr>
          <w:rFonts w:ascii="Times New Roman" w:hAnsi="Times New Roman" w:eastAsia="仿宋" w:cs="Times New Roman"/>
          <w:sz w:val="28"/>
          <w:szCs w:val="28"/>
        </w:rPr>
        <w:t>45.69</w:t>
      </w:r>
      <w:r>
        <w:rPr>
          <w:rFonts w:ascii="Times New Roman" w:hAnsi="仿宋" w:eastAsia="仿宋" w:cs="Times New Roman"/>
          <w:sz w:val="28"/>
          <w:szCs w:val="28"/>
        </w:rPr>
        <w:t>万元，其中：</w:t>
      </w:r>
    </w:p>
    <w:p w14:paraId="021978D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①基层党组织运行经费</w:t>
      </w:r>
      <w:r>
        <w:rPr>
          <w:rFonts w:ascii="Times New Roman" w:hAnsi="Times New Roman" w:eastAsia="仿宋" w:cs="Times New Roman"/>
          <w:sz w:val="28"/>
          <w:szCs w:val="28"/>
        </w:rPr>
        <w:t>22.16</w:t>
      </w:r>
      <w:r>
        <w:rPr>
          <w:rFonts w:ascii="Times New Roman" w:hAnsi="仿宋" w:eastAsia="仿宋" w:cs="Times New Roman"/>
          <w:sz w:val="28"/>
          <w:szCs w:val="28"/>
        </w:rPr>
        <w:t>万元；</w:t>
      </w:r>
    </w:p>
    <w:p w14:paraId="4BCAA65A">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②纪检小组经费</w:t>
      </w:r>
      <w:r>
        <w:rPr>
          <w:rFonts w:ascii="Times New Roman" w:hAnsi="Times New Roman" w:eastAsia="仿宋" w:cs="Times New Roman"/>
          <w:sz w:val="28"/>
          <w:szCs w:val="28"/>
        </w:rPr>
        <w:t>2.00</w:t>
      </w:r>
      <w:r>
        <w:rPr>
          <w:rFonts w:ascii="Times New Roman" w:hAnsi="仿宋" w:eastAsia="仿宋" w:cs="Times New Roman"/>
          <w:sz w:val="28"/>
          <w:szCs w:val="28"/>
        </w:rPr>
        <w:t>万元；</w:t>
      </w:r>
    </w:p>
    <w:p w14:paraId="624C320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③街人大工委工作经费</w:t>
      </w:r>
      <w:r>
        <w:rPr>
          <w:rFonts w:ascii="Times New Roman" w:hAnsi="Times New Roman" w:eastAsia="仿宋" w:cs="Times New Roman"/>
          <w:sz w:val="28"/>
          <w:szCs w:val="28"/>
        </w:rPr>
        <w:t>2.00</w:t>
      </w:r>
      <w:r>
        <w:rPr>
          <w:rFonts w:ascii="Times New Roman" w:hAnsi="仿宋" w:eastAsia="仿宋" w:cs="Times New Roman"/>
          <w:sz w:val="28"/>
          <w:szCs w:val="28"/>
        </w:rPr>
        <w:t>万元；</w:t>
      </w:r>
    </w:p>
    <w:p w14:paraId="625E741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④统战人员补助</w:t>
      </w:r>
      <w:r>
        <w:rPr>
          <w:rFonts w:ascii="Times New Roman" w:hAnsi="Times New Roman" w:eastAsia="仿宋" w:cs="Times New Roman"/>
          <w:sz w:val="28"/>
          <w:szCs w:val="28"/>
        </w:rPr>
        <w:t>2.40</w:t>
      </w:r>
      <w:r>
        <w:rPr>
          <w:rFonts w:ascii="Times New Roman" w:hAnsi="仿宋" w:eastAsia="仿宋" w:cs="Times New Roman"/>
          <w:sz w:val="28"/>
          <w:szCs w:val="28"/>
        </w:rPr>
        <w:t>万元；</w:t>
      </w:r>
    </w:p>
    <w:p w14:paraId="477ECD6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⑤地方志编纂经费</w:t>
      </w:r>
      <w:r>
        <w:rPr>
          <w:rFonts w:ascii="Times New Roman" w:hAnsi="Times New Roman" w:eastAsia="仿宋" w:cs="Times New Roman"/>
          <w:sz w:val="28"/>
          <w:szCs w:val="28"/>
        </w:rPr>
        <w:t>10.00</w:t>
      </w:r>
      <w:r>
        <w:rPr>
          <w:rFonts w:ascii="Times New Roman" w:hAnsi="仿宋" w:eastAsia="仿宋" w:cs="Times New Roman"/>
          <w:sz w:val="28"/>
          <w:szCs w:val="28"/>
        </w:rPr>
        <w:t>万元元；</w:t>
      </w:r>
    </w:p>
    <w:p w14:paraId="34898A33">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⑥基层党建专项事务经费</w:t>
      </w:r>
      <w:r>
        <w:rPr>
          <w:rFonts w:ascii="Times New Roman" w:hAnsi="Times New Roman" w:eastAsia="仿宋" w:cs="Times New Roman"/>
          <w:sz w:val="28"/>
          <w:szCs w:val="28"/>
        </w:rPr>
        <w:t>6.00</w:t>
      </w:r>
      <w:r>
        <w:rPr>
          <w:rFonts w:ascii="Times New Roman" w:hAnsi="仿宋" w:eastAsia="仿宋" w:cs="Times New Roman"/>
          <w:sz w:val="28"/>
          <w:szCs w:val="28"/>
        </w:rPr>
        <w:t>万元；</w:t>
      </w:r>
    </w:p>
    <w:p w14:paraId="061A957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⑦遗属补助</w:t>
      </w:r>
      <w:r>
        <w:rPr>
          <w:rFonts w:ascii="Times New Roman" w:hAnsi="Times New Roman" w:eastAsia="仿宋" w:cs="Times New Roman"/>
          <w:sz w:val="28"/>
          <w:szCs w:val="28"/>
        </w:rPr>
        <w:t>1.13</w:t>
      </w:r>
      <w:r>
        <w:rPr>
          <w:rFonts w:ascii="Times New Roman" w:hAnsi="仿宋" w:eastAsia="仿宋" w:cs="Times New Roman"/>
          <w:sz w:val="28"/>
          <w:szCs w:val="28"/>
        </w:rPr>
        <w:t>万元。</w:t>
      </w:r>
    </w:p>
    <w:bookmarkEnd w:id="16"/>
    <w:bookmarkEnd w:id="17"/>
    <w:bookmarkEnd w:id="18"/>
    <w:bookmarkEnd w:id="19"/>
    <w:bookmarkEnd w:id="20"/>
    <w:p w14:paraId="2923F2C1">
      <w:pPr>
        <w:pStyle w:val="3"/>
        <w:spacing w:line="500" w:lineRule="exact"/>
        <w:ind w:left="420" w:leftChars="200"/>
        <w:rPr>
          <w:rFonts w:ascii="Times New Roman" w:hAnsi="Times New Roman" w:eastAsia="仿宋" w:cs="Times New Roman"/>
          <w:sz w:val="28"/>
          <w:szCs w:val="28"/>
        </w:rPr>
      </w:pPr>
      <w:bookmarkStart w:id="21" w:name="_Toc406666356"/>
      <w:bookmarkStart w:id="22" w:name="_Toc26934"/>
      <w:bookmarkStart w:id="23" w:name="_Toc16351"/>
      <w:bookmarkStart w:id="24" w:name="_Toc361304680"/>
      <w:bookmarkStart w:id="25" w:name="_Toc406668030"/>
      <w:r>
        <w:rPr>
          <w:rFonts w:ascii="Times New Roman" w:hAnsi="仿宋" w:eastAsia="仿宋" w:cs="Times New Roman"/>
          <w:sz w:val="28"/>
          <w:szCs w:val="28"/>
        </w:rPr>
        <w:t>（二）项目绩效目标</w:t>
      </w:r>
      <w:bookmarkEnd w:id="21"/>
      <w:bookmarkEnd w:id="22"/>
      <w:bookmarkEnd w:id="23"/>
      <w:bookmarkEnd w:id="24"/>
      <w:bookmarkEnd w:id="25"/>
      <w:bookmarkStart w:id="26" w:name="_Toc387957806"/>
      <w:bookmarkStart w:id="27" w:name="_Toc361304681"/>
    </w:p>
    <w:p w14:paraId="5DB0D244">
      <w:pPr>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本项目主要绩效目标为：领导班子成员每年到基层讲党课</w:t>
      </w:r>
      <w:r>
        <w:rPr>
          <w:rFonts w:ascii="Times New Roman" w:hAnsi="Times New Roman" w:eastAsia="仿宋" w:cs="Times New Roman"/>
          <w:sz w:val="28"/>
          <w:szCs w:val="28"/>
        </w:rPr>
        <w:t>1</w:t>
      </w:r>
      <w:r>
        <w:rPr>
          <w:rFonts w:ascii="Times New Roman" w:hAnsi="仿宋" w:eastAsia="仿宋" w:cs="Times New Roman"/>
          <w:sz w:val="28"/>
          <w:szCs w:val="28"/>
        </w:rPr>
        <w:t>次以上；市级以上新闻报道宣传</w:t>
      </w:r>
      <w:r>
        <w:rPr>
          <w:rFonts w:ascii="Times New Roman" w:hAnsi="Times New Roman" w:eastAsia="仿宋" w:cs="Times New Roman"/>
          <w:sz w:val="28"/>
          <w:szCs w:val="28"/>
        </w:rPr>
        <w:t>4</w:t>
      </w:r>
      <w:r>
        <w:rPr>
          <w:rFonts w:ascii="Times New Roman" w:hAnsi="仿宋" w:eastAsia="仿宋" w:cs="Times New Roman"/>
          <w:sz w:val="28"/>
          <w:szCs w:val="28"/>
        </w:rPr>
        <w:t>篇；中心组集中学习不少于</w:t>
      </w:r>
      <w:r>
        <w:rPr>
          <w:rFonts w:ascii="Times New Roman" w:hAnsi="Times New Roman" w:eastAsia="仿宋" w:cs="Times New Roman"/>
          <w:sz w:val="28"/>
          <w:szCs w:val="28"/>
        </w:rPr>
        <w:t>12</w:t>
      </w:r>
      <w:r>
        <w:rPr>
          <w:rFonts w:ascii="Times New Roman" w:hAnsi="仿宋" w:eastAsia="仿宋" w:cs="Times New Roman"/>
          <w:sz w:val="28"/>
          <w:szCs w:val="28"/>
        </w:rPr>
        <w:t>次，读书笔记不少于</w:t>
      </w:r>
      <w:r>
        <w:rPr>
          <w:rFonts w:ascii="Times New Roman" w:hAnsi="Times New Roman" w:eastAsia="仿宋" w:cs="Times New Roman"/>
          <w:sz w:val="28"/>
          <w:szCs w:val="28"/>
        </w:rPr>
        <w:t>3</w:t>
      </w:r>
      <w:r>
        <w:rPr>
          <w:rFonts w:ascii="Times New Roman" w:hAnsi="仿宋" w:eastAsia="仿宋" w:cs="Times New Roman"/>
          <w:sz w:val="28"/>
          <w:szCs w:val="28"/>
        </w:rPr>
        <w:t>万字，自学时间不少于</w:t>
      </w:r>
      <w:r>
        <w:rPr>
          <w:rFonts w:ascii="Times New Roman" w:hAnsi="Times New Roman" w:eastAsia="仿宋" w:cs="Times New Roman"/>
          <w:sz w:val="28"/>
          <w:szCs w:val="28"/>
        </w:rPr>
        <w:t>300</w:t>
      </w:r>
      <w:r>
        <w:rPr>
          <w:rFonts w:ascii="Times New Roman" w:hAnsi="仿宋" w:eastAsia="仿宋" w:cs="Times New Roman"/>
          <w:sz w:val="28"/>
          <w:szCs w:val="28"/>
        </w:rPr>
        <w:t>小时</w:t>
      </w:r>
      <w:r>
        <w:rPr>
          <w:rFonts w:ascii="Times New Roman" w:hAnsi="Times New Roman" w:eastAsia="仿宋" w:cs="Times New Roman"/>
          <w:sz w:val="28"/>
          <w:szCs w:val="28"/>
        </w:rPr>
        <w:t>,</w:t>
      </w:r>
      <w:r>
        <w:rPr>
          <w:rFonts w:ascii="Times New Roman" w:hAnsi="仿宋" w:eastAsia="仿宋" w:cs="Times New Roman"/>
          <w:sz w:val="28"/>
          <w:szCs w:val="28"/>
        </w:rPr>
        <w:t>督促机关干部写读书笔记</w:t>
      </w:r>
      <w:r>
        <w:rPr>
          <w:rFonts w:ascii="Times New Roman" w:hAnsi="Times New Roman" w:eastAsia="仿宋" w:cs="Times New Roman"/>
          <w:sz w:val="28"/>
          <w:szCs w:val="28"/>
        </w:rPr>
        <w:t>1</w:t>
      </w:r>
      <w:r>
        <w:rPr>
          <w:rFonts w:ascii="Times New Roman" w:hAnsi="仿宋" w:eastAsia="仿宋" w:cs="Times New Roman"/>
          <w:sz w:val="28"/>
          <w:szCs w:val="28"/>
        </w:rPr>
        <w:t>万字以上；推进业余党校建设，全年开展教学活动不少于</w:t>
      </w:r>
      <w:r>
        <w:rPr>
          <w:rFonts w:ascii="Times New Roman" w:hAnsi="Times New Roman" w:eastAsia="仿宋" w:cs="Times New Roman"/>
          <w:sz w:val="28"/>
          <w:szCs w:val="28"/>
        </w:rPr>
        <w:t>12</w:t>
      </w:r>
      <w:r>
        <w:rPr>
          <w:rFonts w:ascii="Times New Roman" w:hAnsi="仿宋" w:eastAsia="仿宋" w:cs="Times New Roman"/>
          <w:sz w:val="28"/>
          <w:szCs w:val="28"/>
        </w:rPr>
        <w:t>次；树立</w:t>
      </w:r>
      <w:r>
        <w:rPr>
          <w:rFonts w:ascii="Times New Roman" w:hAnsi="Times New Roman" w:eastAsia="仿宋" w:cs="Times New Roman"/>
          <w:sz w:val="28"/>
          <w:szCs w:val="28"/>
        </w:rPr>
        <w:t>1</w:t>
      </w: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个先进党组织典型，树立</w:t>
      </w:r>
      <w:r>
        <w:rPr>
          <w:rFonts w:ascii="Times New Roman" w:hAnsi="Times New Roman" w:eastAsia="仿宋" w:cs="Times New Roman"/>
          <w:sz w:val="28"/>
          <w:szCs w:val="28"/>
        </w:rPr>
        <w:t>1-2</w:t>
      </w:r>
      <w:r>
        <w:rPr>
          <w:rFonts w:ascii="Times New Roman" w:hAnsi="仿宋" w:eastAsia="仿宋" w:cs="Times New Roman"/>
          <w:sz w:val="28"/>
          <w:szCs w:val="28"/>
        </w:rPr>
        <w:t>个优秀共产党员先进典型。</w:t>
      </w:r>
    </w:p>
    <w:p w14:paraId="542FCF9B">
      <w:pPr>
        <w:spacing w:line="440" w:lineRule="exact"/>
        <w:ind w:firstLine="420" w:firstLineChars="200"/>
        <w:rPr>
          <w:rFonts w:ascii="Times New Roman" w:hAnsi="Times New Roman" w:eastAsia="仿宋" w:cs="Times New Roman"/>
          <w:highlight w:val="yellow"/>
        </w:rPr>
      </w:pPr>
      <w:bookmarkStart w:id="28" w:name="_Toc14372"/>
      <w:bookmarkStart w:id="29" w:name="_Toc406666357"/>
      <w:bookmarkStart w:id="30" w:name="_Toc406668031"/>
    </w:p>
    <w:p w14:paraId="471FDFF1">
      <w:pPr>
        <w:pStyle w:val="2"/>
        <w:spacing w:line="500" w:lineRule="exact"/>
        <w:ind w:left="420" w:leftChars="200"/>
        <w:rPr>
          <w:rFonts w:ascii="Times New Roman" w:hAnsi="Times New Roman" w:eastAsia="仿宋" w:cs="Times New Roman"/>
          <w:szCs w:val="28"/>
        </w:rPr>
      </w:pPr>
      <w:bookmarkStart w:id="31" w:name="_Toc12551"/>
      <w:r>
        <w:rPr>
          <w:rFonts w:ascii="Times New Roman" w:hAnsi="仿宋" w:eastAsia="仿宋" w:cs="Times New Roman"/>
          <w:szCs w:val="28"/>
        </w:rPr>
        <w:t>二、绩效评价工作情况</w:t>
      </w:r>
      <w:bookmarkEnd w:id="26"/>
      <w:bookmarkEnd w:id="27"/>
      <w:bookmarkEnd w:id="28"/>
      <w:bookmarkEnd w:id="29"/>
      <w:bookmarkEnd w:id="30"/>
      <w:bookmarkEnd w:id="31"/>
      <w:bookmarkStart w:id="32" w:name="_Toc361304682"/>
    </w:p>
    <w:p w14:paraId="0ED57B4D">
      <w:pPr>
        <w:pStyle w:val="3"/>
        <w:spacing w:line="500" w:lineRule="exact"/>
        <w:ind w:left="420" w:leftChars="200"/>
        <w:rPr>
          <w:rFonts w:ascii="Times New Roman" w:hAnsi="Times New Roman" w:eastAsia="仿宋" w:cs="Times New Roman"/>
          <w:sz w:val="28"/>
          <w:szCs w:val="28"/>
        </w:rPr>
      </w:pPr>
      <w:bookmarkStart w:id="33" w:name="_Toc387957807"/>
      <w:bookmarkStart w:id="34" w:name="_Toc29064"/>
      <w:bookmarkStart w:id="35" w:name="_Toc28806"/>
      <w:bookmarkStart w:id="36" w:name="_Toc406668032"/>
      <w:bookmarkStart w:id="37" w:name="_Toc406666358"/>
      <w:r>
        <w:rPr>
          <w:rFonts w:ascii="Times New Roman" w:hAnsi="仿宋" w:eastAsia="仿宋" w:cs="Times New Roman"/>
          <w:sz w:val="28"/>
          <w:szCs w:val="28"/>
        </w:rPr>
        <w:t>（一）绩效评价目</w:t>
      </w:r>
      <w:bookmarkEnd w:id="32"/>
      <w:bookmarkEnd w:id="33"/>
      <w:r>
        <w:rPr>
          <w:rFonts w:ascii="Times New Roman" w:hAnsi="仿宋" w:eastAsia="仿宋" w:cs="Times New Roman"/>
          <w:sz w:val="28"/>
          <w:szCs w:val="28"/>
        </w:rPr>
        <w:t>的</w:t>
      </w:r>
      <w:bookmarkEnd w:id="34"/>
      <w:bookmarkEnd w:id="35"/>
      <w:bookmarkEnd w:id="36"/>
      <w:bookmarkEnd w:id="37"/>
    </w:p>
    <w:p w14:paraId="3C428B63">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六角亭街办事处</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绩效评价，是落实财政部、省财政厅关于绩效评价管理工作规章、制度的体现，推动六角亭街办事处工作绩效和实施新《预算法》的需要，是六角亭街办事处绩效管理工作的重要环节，是政府和财政部门</w:t>
      </w:r>
      <w:r>
        <w:rPr>
          <w:rFonts w:ascii="Times New Roman" w:hAnsi="Times New Roman" w:eastAsia="仿宋" w:cs="Times New Roman"/>
          <w:sz w:val="28"/>
          <w:szCs w:val="28"/>
        </w:rPr>
        <w:t>“</w:t>
      </w:r>
      <w:r>
        <w:rPr>
          <w:rFonts w:ascii="Times New Roman" w:hAnsi="仿宋" w:eastAsia="仿宋" w:cs="Times New Roman"/>
          <w:sz w:val="28"/>
          <w:szCs w:val="28"/>
        </w:rPr>
        <w:t>用钱必问效、无效必问责</w:t>
      </w:r>
      <w:r>
        <w:rPr>
          <w:rFonts w:ascii="Times New Roman" w:hAnsi="Times New Roman" w:eastAsia="仿宋" w:cs="Times New Roman"/>
          <w:sz w:val="28"/>
          <w:szCs w:val="28"/>
        </w:rPr>
        <w:t>”</w:t>
      </w:r>
      <w:r>
        <w:rPr>
          <w:rFonts w:ascii="Times New Roman" w:hAnsi="仿宋" w:eastAsia="仿宋" w:cs="Times New Roman"/>
          <w:sz w:val="28"/>
          <w:szCs w:val="28"/>
        </w:rPr>
        <w:t>的预算观及</w:t>
      </w:r>
      <w:r>
        <w:rPr>
          <w:rFonts w:ascii="Times New Roman" w:hAnsi="Times New Roman" w:eastAsia="仿宋" w:cs="Times New Roman"/>
          <w:sz w:val="28"/>
          <w:szCs w:val="28"/>
        </w:rPr>
        <w:t>“</w:t>
      </w:r>
      <w:r>
        <w:rPr>
          <w:rFonts w:ascii="Times New Roman" w:hAnsi="仿宋" w:eastAsia="仿宋" w:cs="Times New Roman"/>
          <w:sz w:val="28"/>
          <w:szCs w:val="28"/>
        </w:rPr>
        <w:t>目标</w:t>
      </w:r>
      <w:r>
        <w:rPr>
          <w:rFonts w:ascii="Times New Roman" w:hAnsi="Times New Roman" w:eastAsia="仿宋" w:cs="Times New Roman"/>
          <w:sz w:val="28"/>
          <w:szCs w:val="28"/>
        </w:rPr>
        <w:t>-</w:t>
      </w:r>
      <w:r>
        <w:rPr>
          <w:rFonts w:ascii="Times New Roman" w:hAnsi="仿宋" w:eastAsia="仿宋" w:cs="Times New Roman"/>
          <w:sz w:val="28"/>
          <w:szCs w:val="28"/>
        </w:rPr>
        <w:t>结果</w:t>
      </w:r>
      <w:r>
        <w:rPr>
          <w:rFonts w:ascii="Times New Roman" w:hAnsi="Times New Roman" w:eastAsia="仿宋" w:cs="Times New Roman"/>
          <w:sz w:val="28"/>
          <w:szCs w:val="28"/>
        </w:rPr>
        <w:t>-</w:t>
      </w:r>
      <w:r>
        <w:rPr>
          <w:rFonts w:ascii="Times New Roman" w:hAnsi="仿宋" w:eastAsia="仿宋" w:cs="Times New Roman"/>
          <w:sz w:val="28"/>
          <w:szCs w:val="28"/>
        </w:rPr>
        <w:t>导向</w:t>
      </w:r>
      <w:r>
        <w:rPr>
          <w:rFonts w:ascii="Times New Roman" w:hAnsi="Times New Roman" w:eastAsia="仿宋" w:cs="Times New Roman"/>
          <w:sz w:val="28"/>
          <w:szCs w:val="28"/>
        </w:rPr>
        <w:t>”</w:t>
      </w:r>
      <w:r>
        <w:rPr>
          <w:rFonts w:ascii="Times New Roman" w:hAnsi="仿宋" w:eastAsia="仿宋" w:cs="Times New Roman"/>
          <w:sz w:val="28"/>
          <w:szCs w:val="28"/>
        </w:rPr>
        <w:t>理论的具体实践。本次评价主要有三个目的：</w:t>
      </w:r>
    </w:p>
    <w:p w14:paraId="7B96F209">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一是通过访谈、观察、检查、分析、计算项目决策、项目管理和项目绩效所涉及的各项具体指标，客观公正地反映了</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年度基层党建综合事务经费的资金</w:t>
      </w:r>
      <w:r>
        <w:rPr>
          <w:rFonts w:ascii="Times New Roman" w:hAnsi="仿宋" w:eastAsia="仿宋" w:cs="Times New Roman"/>
          <w:bCs/>
          <w:kern w:val="0"/>
          <w:sz w:val="28"/>
          <w:szCs w:val="28"/>
        </w:rPr>
        <w:t>实际使用和产生的绩效状况，为今后该项目实施方向及管理方式的改进提供指引，逐步树立</w:t>
      </w:r>
      <w:r>
        <w:rPr>
          <w:rFonts w:ascii="Times New Roman" w:hAnsi="Times New Roman" w:eastAsia="仿宋" w:cs="Times New Roman"/>
          <w:bCs/>
          <w:kern w:val="0"/>
          <w:sz w:val="28"/>
          <w:szCs w:val="28"/>
        </w:rPr>
        <w:t>“</w:t>
      </w:r>
      <w:r>
        <w:rPr>
          <w:rFonts w:ascii="Times New Roman" w:hAnsi="仿宋" w:eastAsia="仿宋" w:cs="Times New Roman"/>
          <w:bCs/>
          <w:kern w:val="0"/>
          <w:sz w:val="28"/>
          <w:szCs w:val="28"/>
        </w:rPr>
        <w:t>跟踪问效，追踪问责</w:t>
      </w:r>
      <w:r>
        <w:rPr>
          <w:rFonts w:ascii="Times New Roman" w:hAnsi="Times New Roman" w:eastAsia="仿宋" w:cs="Times New Roman"/>
          <w:bCs/>
          <w:kern w:val="0"/>
          <w:sz w:val="28"/>
          <w:szCs w:val="28"/>
        </w:rPr>
        <w:t>”</w:t>
      </w:r>
      <w:r>
        <w:rPr>
          <w:rFonts w:ascii="Times New Roman" w:hAnsi="仿宋" w:eastAsia="仿宋" w:cs="Times New Roman"/>
          <w:bCs/>
          <w:kern w:val="0"/>
          <w:sz w:val="28"/>
          <w:szCs w:val="28"/>
        </w:rPr>
        <w:t>的预算责任机制、</w:t>
      </w:r>
      <w:r>
        <w:rPr>
          <w:rFonts w:ascii="Times New Roman" w:hAnsi="Times New Roman" w:eastAsia="仿宋" w:cs="Times New Roman"/>
          <w:bCs/>
          <w:kern w:val="0"/>
          <w:sz w:val="28"/>
          <w:szCs w:val="28"/>
        </w:rPr>
        <w:t>“</w:t>
      </w:r>
      <w:r>
        <w:rPr>
          <w:rFonts w:ascii="Times New Roman" w:hAnsi="仿宋" w:eastAsia="仿宋" w:cs="Times New Roman"/>
          <w:bCs/>
          <w:kern w:val="0"/>
          <w:sz w:val="28"/>
          <w:szCs w:val="28"/>
        </w:rPr>
        <w:t>结果导向，讲求绩效</w:t>
      </w:r>
      <w:r>
        <w:rPr>
          <w:rFonts w:ascii="Times New Roman" w:hAnsi="Times New Roman" w:eastAsia="仿宋" w:cs="Times New Roman"/>
          <w:bCs/>
          <w:kern w:val="0"/>
          <w:sz w:val="28"/>
          <w:szCs w:val="28"/>
        </w:rPr>
        <w:t>”</w:t>
      </w:r>
      <w:r>
        <w:rPr>
          <w:rFonts w:ascii="Times New Roman" w:hAnsi="仿宋" w:eastAsia="仿宋" w:cs="Times New Roman"/>
          <w:bCs/>
          <w:kern w:val="0"/>
          <w:sz w:val="28"/>
          <w:szCs w:val="28"/>
        </w:rPr>
        <w:t>的理财观念；</w:t>
      </w:r>
    </w:p>
    <w:p w14:paraId="04EBD819">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二是通过绩效评价、总结项目实施的做法和经验、教训，提出改进措施和建设性意见，为进一步加强基层党建综合事务经费资金项目支出绩效管理提供决策参考及政策制定依据；</w:t>
      </w:r>
    </w:p>
    <w:p w14:paraId="29BF9E0B">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三是培养复合型的绩效评价队伍，构建财政预算支出绩效管理的长效机制，打造财政资金绩效监管格局。</w:t>
      </w:r>
      <w:bookmarkStart w:id="38" w:name="_Toc420526432"/>
      <w:bookmarkStart w:id="39" w:name="_Toc417753592"/>
      <w:bookmarkStart w:id="40" w:name="_Toc406666359"/>
      <w:bookmarkStart w:id="41" w:name="_Toc406668033"/>
      <w:bookmarkStart w:id="42" w:name="_Toc361302025"/>
      <w:bookmarkStart w:id="43" w:name="_Toc387957809"/>
      <w:bookmarkStart w:id="44" w:name="_Toc361304684"/>
    </w:p>
    <w:p w14:paraId="50513B6C">
      <w:pPr>
        <w:pStyle w:val="11"/>
        <w:spacing w:line="500" w:lineRule="exact"/>
        <w:ind w:left="420" w:leftChars="200"/>
        <w:outlineLvl w:val="2"/>
        <w:rPr>
          <w:rFonts w:ascii="Times New Roman" w:hAnsi="Times New Roman" w:eastAsia="仿宋" w:cs="Times New Roman"/>
          <w:b/>
          <w:sz w:val="28"/>
          <w:szCs w:val="28"/>
        </w:rPr>
      </w:pPr>
      <w:bookmarkStart w:id="45" w:name="_Toc30203"/>
      <w:r>
        <w:rPr>
          <w:rFonts w:ascii="Times New Roman" w:hAnsi="仿宋" w:eastAsia="仿宋" w:cs="Times New Roman"/>
          <w:b/>
          <w:sz w:val="28"/>
          <w:szCs w:val="28"/>
        </w:rPr>
        <w:t>（二）绩效评价工作过程</w:t>
      </w:r>
    </w:p>
    <w:p w14:paraId="702B8AFF">
      <w:pPr>
        <w:pStyle w:val="11"/>
        <w:spacing w:line="500" w:lineRule="exact"/>
        <w:ind w:left="420" w:leftChars="200"/>
        <w:outlineLvl w:val="2"/>
        <w:rPr>
          <w:rFonts w:ascii="Times New Roman" w:hAnsi="Times New Roman" w:eastAsia="仿宋" w:cs="Times New Roman"/>
          <w:bCs w:val="0"/>
          <w:sz w:val="28"/>
          <w:szCs w:val="28"/>
        </w:rPr>
      </w:pPr>
      <w:r>
        <w:rPr>
          <w:rFonts w:ascii="Times New Roman" w:hAnsi="Times New Roman" w:eastAsia="仿宋" w:cs="Times New Roman"/>
          <w:bCs w:val="0"/>
          <w:sz w:val="28"/>
          <w:szCs w:val="28"/>
        </w:rPr>
        <w:t>1</w:t>
      </w:r>
      <w:r>
        <w:rPr>
          <w:rFonts w:ascii="Times New Roman" w:hAnsi="仿宋" w:eastAsia="仿宋" w:cs="Times New Roman"/>
          <w:bCs w:val="0"/>
          <w:sz w:val="28"/>
          <w:szCs w:val="28"/>
        </w:rPr>
        <w:t>．前期准备工作</w:t>
      </w:r>
      <w:bookmarkEnd w:id="38"/>
      <w:bookmarkEnd w:id="39"/>
      <w:bookmarkEnd w:id="45"/>
      <w:r>
        <w:rPr>
          <w:rFonts w:ascii="Times New Roman" w:hAnsi="仿宋" w:eastAsia="仿宋" w:cs="Times New Roman"/>
          <w:bCs w:val="0"/>
          <w:sz w:val="28"/>
          <w:szCs w:val="28"/>
        </w:rPr>
        <w:t>内容</w:t>
      </w:r>
    </w:p>
    <w:p w14:paraId="19BB8109">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）组成绩效评价工作组，收集、学习相关绩效评价的文件、制度，传达有关的文件精神和具体工作要求，介绍绩效评价工作的目标、任务、要求、原则、评价方法和资料收集方法等。</w:t>
      </w:r>
    </w:p>
    <w:p w14:paraId="2C530716">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绩效评价组调取了项目文件，查询相关资料，并从问卷调查、网络系统等途径获取相关资料信息，与项目文件相互印证，了解基层党建综合事务经费项目的运营和管理状况，与主管部门联系了解项目的特点以及评价目的。</w:t>
      </w:r>
    </w:p>
    <w:p w14:paraId="15EA5CA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）与单位相关负责人进行了解、面访、调查，初步了解被评价项目的总体情况，确定绩效评价工作开展的方向和重点。</w:t>
      </w:r>
    </w:p>
    <w:p w14:paraId="499E2897">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）对照《财政支出绩效评价管理暂行办法》（财预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w:t>
      </w:r>
      <w:r>
        <w:rPr>
          <w:rFonts w:ascii="Times New Roman" w:hAnsi="仿宋" w:eastAsia="仿宋" w:cs="Times New Roman"/>
          <w:sz w:val="28"/>
        </w:rPr>
        <w:t>《湖北省省级财政项目资金绩效评价实施暂行办法》（鄂财绩发</w:t>
      </w:r>
      <w:r>
        <w:rPr>
          <w:rFonts w:ascii="Times New Roman" w:hAnsi="Times New Roman" w:eastAsia="仿宋" w:cs="Times New Roman"/>
          <w:sz w:val="28"/>
          <w:szCs w:val="28"/>
        </w:rPr>
        <w:t>[</w:t>
      </w:r>
      <w:r>
        <w:rPr>
          <w:rFonts w:ascii="Times New Roman" w:hAnsi="Times New Roman" w:eastAsia="仿宋" w:cs="Times New Roman"/>
          <w:sz w:val="28"/>
        </w:rPr>
        <w:t>2012</w:t>
      </w:r>
      <w:r>
        <w:rPr>
          <w:rFonts w:ascii="Times New Roman" w:hAnsi="Times New Roman" w:eastAsia="仿宋" w:cs="Times New Roman"/>
          <w:sz w:val="28"/>
          <w:szCs w:val="28"/>
        </w:rPr>
        <w:t>]</w:t>
      </w:r>
      <w:r>
        <w:rPr>
          <w:rFonts w:ascii="Times New Roman" w:hAnsi="Times New Roman" w:eastAsia="仿宋" w:cs="Times New Roman"/>
          <w:sz w:val="28"/>
        </w:rPr>
        <w:t>5</w:t>
      </w:r>
      <w:r>
        <w:rPr>
          <w:rFonts w:ascii="Times New Roman" w:hAnsi="仿宋" w:eastAsia="仿宋" w:cs="Times New Roman"/>
          <w:sz w:val="28"/>
        </w:rPr>
        <w:t>号）、</w:t>
      </w:r>
      <w:r>
        <w:rPr>
          <w:rFonts w:ascii="Times New Roman" w:hAnsi="仿宋" w:eastAsia="仿宋" w:cs="Times New Roman"/>
          <w:sz w:val="28"/>
          <w:szCs w:val="28"/>
        </w:rPr>
        <w:t>《预算绩效评价共性指标体系框架》（财预</w:t>
      </w:r>
      <w:r>
        <w:rPr>
          <w:rFonts w:ascii="Times New Roman" w:hAnsi="Times New Roman" w:eastAsia="仿宋" w:cs="Times New Roman"/>
          <w:sz w:val="28"/>
          <w:szCs w:val="28"/>
        </w:rPr>
        <w:t>[2013]53</w:t>
      </w:r>
      <w:r>
        <w:rPr>
          <w:rFonts w:ascii="Times New Roman" w:hAnsi="仿宋" w:eastAsia="仿宋" w:cs="Times New Roman"/>
          <w:sz w:val="28"/>
          <w:szCs w:val="28"/>
        </w:rPr>
        <w:t>号）、《市财政局关于开展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号）及硚口区财政局《</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年区直预算绩效评价及项目支出绩效执行监控工作方案》的相关规定，结合六角亭街办事处工作的实际情况，围绕项目预算执行情况、项目产出、项目效果三个方面的绩效评价，拟订</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年度基层党建综合事务经费项目绩效评价指标体系、绩效评价访谈提纲和评价资料清单，制定初步的项目绩效评价指标体系框架，设定绩效评价基础数据表，为后期的调查和研究、资料收集做好准备。</w:t>
      </w:r>
    </w:p>
    <w:p w14:paraId="2897C73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）与六角亭街办事处共同拟定问题清单与访问对象，安排实地调研事宜。</w:t>
      </w:r>
    </w:p>
    <w:p w14:paraId="210DA6E6">
      <w:pPr>
        <w:pStyle w:val="11"/>
        <w:spacing w:line="500" w:lineRule="exact"/>
        <w:ind w:left="420" w:leftChars="200"/>
        <w:outlineLvl w:val="2"/>
        <w:rPr>
          <w:rFonts w:ascii="Times New Roman" w:hAnsi="Times New Roman" w:eastAsia="仿宋" w:cs="Times New Roman"/>
          <w:bCs w:val="0"/>
          <w:sz w:val="28"/>
          <w:szCs w:val="28"/>
        </w:rPr>
      </w:pPr>
      <w:bookmarkStart w:id="46" w:name="_Toc414444062"/>
      <w:bookmarkStart w:id="47" w:name="_Toc417753593"/>
      <w:bookmarkStart w:id="48" w:name="_Toc420526433"/>
      <w:bookmarkStart w:id="49" w:name="_Toc30387"/>
      <w:bookmarkStart w:id="50" w:name="_Toc414781120"/>
      <w:r>
        <w:rPr>
          <w:rFonts w:ascii="Times New Roman" w:hAnsi="Times New Roman" w:eastAsia="仿宋" w:cs="Times New Roman"/>
          <w:bCs w:val="0"/>
          <w:sz w:val="28"/>
          <w:szCs w:val="28"/>
        </w:rPr>
        <w:t>2</w:t>
      </w:r>
      <w:r>
        <w:rPr>
          <w:rFonts w:ascii="Times New Roman" w:hAnsi="仿宋" w:eastAsia="仿宋" w:cs="Times New Roman"/>
          <w:bCs w:val="0"/>
          <w:sz w:val="28"/>
          <w:szCs w:val="28"/>
        </w:rPr>
        <w:t>．组织实施</w:t>
      </w:r>
      <w:bookmarkEnd w:id="46"/>
      <w:bookmarkEnd w:id="47"/>
      <w:bookmarkEnd w:id="48"/>
      <w:bookmarkEnd w:id="49"/>
      <w:bookmarkEnd w:id="50"/>
      <w:r>
        <w:rPr>
          <w:rFonts w:ascii="Times New Roman" w:hAnsi="仿宋" w:eastAsia="仿宋" w:cs="Times New Roman"/>
          <w:bCs w:val="0"/>
          <w:sz w:val="28"/>
          <w:szCs w:val="28"/>
        </w:rPr>
        <w:t>过程内容</w:t>
      </w:r>
    </w:p>
    <w:p w14:paraId="2253F2CF">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）听取六角亭街办事处关于</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年度基层党建综合事务经费项目资金使用情况、目标完成情况以及实施效果的介绍。</w:t>
      </w:r>
    </w:p>
    <w:p w14:paraId="2AF313EA">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）按照《财政支出绩效评价管理暂行办法》（财预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号）、《湖北省省级财政项目资金绩效评价实施暂行办法》</w:t>
      </w:r>
      <w:r>
        <w:rPr>
          <w:rFonts w:ascii="Times New Roman" w:hAnsi="Times New Roman" w:eastAsia="仿宋" w:cs="Times New Roman"/>
          <w:sz w:val="28"/>
          <w:szCs w:val="28"/>
        </w:rPr>
        <w:t>(</w:t>
      </w:r>
      <w:r>
        <w:rPr>
          <w:rFonts w:ascii="Times New Roman" w:hAnsi="仿宋" w:eastAsia="仿宋" w:cs="Times New Roman"/>
          <w:sz w:val="28"/>
          <w:szCs w:val="28"/>
        </w:rPr>
        <w:t>鄂财绩发</w:t>
      </w:r>
      <w:r>
        <w:rPr>
          <w:rFonts w:ascii="Times New Roman" w:hAnsi="Times New Roman" w:eastAsia="仿宋" w:cs="Times New Roman"/>
          <w:sz w:val="28"/>
          <w:szCs w:val="28"/>
        </w:rPr>
        <w:t>[2012]5</w:t>
      </w:r>
      <w:r>
        <w:rPr>
          <w:rFonts w:ascii="Times New Roman" w:hAnsi="仿宋" w:eastAsia="仿宋" w:cs="Times New Roman"/>
          <w:sz w:val="28"/>
          <w:szCs w:val="28"/>
        </w:rPr>
        <w:t>号</w:t>
      </w:r>
      <w:r>
        <w:rPr>
          <w:rFonts w:ascii="Times New Roman" w:hAnsi="Times New Roman" w:eastAsia="仿宋" w:cs="Times New Roman"/>
          <w:sz w:val="28"/>
          <w:szCs w:val="28"/>
        </w:rPr>
        <w:t>)</w:t>
      </w:r>
      <w:r>
        <w:rPr>
          <w:rFonts w:ascii="Times New Roman" w:hAnsi="仿宋" w:eastAsia="仿宋" w:cs="Times New Roman"/>
          <w:sz w:val="28"/>
          <w:szCs w:val="28"/>
        </w:rPr>
        <w:t>、《湖北省财政项目资金绩效评价操作指南》（鄂财函</w:t>
      </w:r>
      <w:r>
        <w:rPr>
          <w:rFonts w:ascii="Times New Roman" w:hAnsi="Times New Roman" w:eastAsia="仿宋" w:cs="Times New Roman"/>
          <w:sz w:val="28"/>
          <w:szCs w:val="28"/>
        </w:rPr>
        <w:t>[2014]376</w:t>
      </w:r>
      <w:r>
        <w:rPr>
          <w:rFonts w:ascii="Times New Roman" w:hAnsi="仿宋" w:eastAsia="仿宋" w:cs="Times New Roman"/>
          <w:sz w:val="28"/>
          <w:szCs w:val="28"/>
        </w:rPr>
        <w:t>号）、《市财政局关于开展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号）及《</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年区直预算绩效评价及项目支出绩效执行监控工作方案》等相关规定，根据评价具体要求和制定的指标体系评价方法，形成详细资料清单及各类工作表格。</w:t>
      </w:r>
    </w:p>
    <w:p w14:paraId="1F4ACA5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开展现场评价工作，收集、核实相关资料，获取评价证据。绩效评价组深入项目执行单位以实地察看、面访、座谈、查阅相关资料、核查财务凭证等多种形式采集信息，复核基础数据和评价证据；召开访谈会；完成现场评价工作各类表格的填报工作。</w:t>
      </w:r>
    </w:p>
    <w:p w14:paraId="76B8E6F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）对收集的资料进行分类、整理、筛选、汇总、分析，提出补充资料、修订完善项目绩效评价指标体系框架，优化评价指标。</w:t>
      </w:r>
    </w:p>
    <w:p w14:paraId="0848B3EF">
      <w:pPr>
        <w:pStyle w:val="11"/>
        <w:spacing w:line="500" w:lineRule="exact"/>
        <w:ind w:left="420" w:leftChars="200"/>
        <w:outlineLvl w:val="2"/>
        <w:rPr>
          <w:rFonts w:ascii="Times New Roman" w:hAnsi="Times New Roman" w:eastAsia="仿宋" w:cs="Times New Roman"/>
          <w:bCs w:val="0"/>
          <w:sz w:val="28"/>
          <w:szCs w:val="28"/>
        </w:rPr>
      </w:pPr>
      <w:bookmarkStart w:id="51" w:name="_Toc414781121"/>
      <w:bookmarkStart w:id="52" w:name="_Toc27249"/>
      <w:bookmarkStart w:id="53" w:name="_Toc417753594"/>
      <w:bookmarkStart w:id="54" w:name="_Toc414444063"/>
      <w:bookmarkStart w:id="55" w:name="_Toc420526434"/>
      <w:r>
        <w:rPr>
          <w:rFonts w:ascii="Times New Roman" w:hAnsi="Times New Roman" w:eastAsia="仿宋" w:cs="Times New Roman"/>
          <w:bCs w:val="0"/>
          <w:sz w:val="28"/>
          <w:szCs w:val="28"/>
        </w:rPr>
        <w:t>3</w:t>
      </w:r>
      <w:r>
        <w:rPr>
          <w:rFonts w:ascii="Times New Roman" w:hAnsi="仿宋" w:eastAsia="仿宋" w:cs="Times New Roman"/>
          <w:bCs w:val="0"/>
          <w:sz w:val="28"/>
          <w:szCs w:val="28"/>
        </w:rPr>
        <w:t>．分析评价工作内容</w:t>
      </w:r>
      <w:bookmarkEnd w:id="51"/>
      <w:bookmarkEnd w:id="52"/>
      <w:bookmarkEnd w:id="53"/>
      <w:bookmarkEnd w:id="54"/>
      <w:bookmarkEnd w:id="55"/>
    </w:p>
    <w:p w14:paraId="4C90AB16">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）根据现场评价工作获得的信息、被评价单位提供的绩效评价资料，对该项目进行定性、定量的评价，计算各种评价指标，完成评价工作表格的整理，形成绩效评价工作底稿。</w:t>
      </w:r>
    </w:p>
    <w:p w14:paraId="66DFFE6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）编制</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年度基层党建综合事务经费项目年度绩效目标完成情况对比表，根据统计资料分析项目的实施效果。</w:t>
      </w:r>
    </w:p>
    <w:p w14:paraId="6D1805C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）根据绩效评价指标体系与评分标准，得出绩效评价结论，撰写绩效评价报告初稿。</w:t>
      </w:r>
    </w:p>
    <w:p w14:paraId="50292131">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）将绩效评价报告初稿发送给六角亭街办事处审阅，根据反馈意见对评价报告初稿进行修改，形成正式报告文本。</w:t>
      </w:r>
    </w:p>
    <w:p w14:paraId="2499ED8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）实施绩效评价报告三级质量复核，最终完成并提交正式绩效评价报告。</w:t>
      </w:r>
    </w:p>
    <w:p w14:paraId="209523D4">
      <w:pPr>
        <w:pStyle w:val="11"/>
        <w:spacing w:line="500" w:lineRule="exact"/>
        <w:ind w:left="420" w:leftChars="200"/>
        <w:outlineLvl w:val="2"/>
        <w:rPr>
          <w:rFonts w:ascii="Times New Roman" w:hAnsi="Times New Roman" w:eastAsia="仿宋" w:cs="Times New Roman"/>
          <w:bCs w:val="0"/>
          <w:sz w:val="28"/>
          <w:szCs w:val="28"/>
        </w:rPr>
      </w:pPr>
      <w:bookmarkStart w:id="56" w:name="_Toc29172"/>
      <w:bookmarkStart w:id="57" w:name="_Toc414781122"/>
      <w:bookmarkStart w:id="58" w:name="_Toc417753595"/>
      <w:bookmarkStart w:id="59" w:name="_Toc420526435"/>
      <w:bookmarkStart w:id="60" w:name="_Toc414444064"/>
      <w:r>
        <w:rPr>
          <w:rFonts w:ascii="Times New Roman" w:hAnsi="Times New Roman" w:eastAsia="仿宋" w:cs="Times New Roman"/>
          <w:bCs w:val="0"/>
          <w:sz w:val="28"/>
          <w:szCs w:val="28"/>
        </w:rPr>
        <w:t>4</w:t>
      </w:r>
      <w:r>
        <w:rPr>
          <w:rFonts w:ascii="Times New Roman" w:hAnsi="仿宋" w:eastAsia="仿宋" w:cs="Times New Roman"/>
          <w:bCs w:val="0"/>
          <w:sz w:val="28"/>
          <w:szCs w:val="28"/>
        </w:rPr>
        <w:t>．归档</w:t>
      </w:r>
      <w:bookmarkEnd w:id="56"/>
      <w:bookmarkEnd w:id="57"/>
      <w:bookmarkEnd w:id="58"/>
      <w:bookmarkEnd w:id="59"/>
      <w:bookmarkEnd w:id="60"/>
    </w:p>
    <w:p w14:paraId="7A60F497">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对绩效评价工作资料进行整理，完善绩效评价工作底稿并归档。</w:t>
      </w:r>
    </w:p>
    <w:p w14:paraId="0865D036">
      <w:pPr>
        <w:pStyle w:val="3"/>
        <w:spacing w:line="500" w:lineRule="exact"/>
        <w:ind w:left="420" w:leftChars="200"/>
        <w:rPr>
          <w:rFonts w:ascii="Times New Roman" w:hAnsi="Times New Roman" w:eastAsia="仿宋" w:cs="Times New Roman"/>
          <w:sz w:val="28"/>
          <w:szCs w:val="28"/>
        </w:rPr>
      </w:pPr>
      <w:bookmarkStart w:id="61" w:name="_Toc9699"/>
      <w:r>
        <w:rPr>
          <w:rFonts w:ascii="Times New Roman" w:hAnsi="仿宋" w:eastAsia="仿宋" w:cs="Times New Roman"/>
          <w:sz w:val="28"/>
          <w:szCs w:val="28"/>
        </w:rPr>
        <w:t>（三）绩效评价框架</w:t>
      </w:r>
      <w:bookmarkEnd w:id="61"/>
    </w:p>
    <w:p w14:paraId="45B9EB10">
      <w:pPr>
        <w:pStyle w:val="11"/>
        <w:spacing w:line="500" w:lineRule="exact"/>
        <w:ind w:left="420" w:leftChars="200"/>
        <w:outlineLvl w:val="2"/>
        <w:rPr>
          <w:rFonts w:ascii="Times New Roman" w:hAnsi="Times New Roman" w:eastAsia="仿宋" w:cs="Times New Roman"/>
          <w:bCs w:val="0"/>
          <w:sz w:val="28"/>
          <w:szCs w:val="28"/>
        </w:rPr>
      </w:pPr>
      <w:bookmarkStart w:id="62" w:name="_Toc4763"/>
      <w:r>
        <w:rPr>
          <w:rFonts w:ascii="Times New Roman" w:hAnsi="Times New Roman" w:eastAsia="仿宋" w:cs="Times New Roman"/>
          <w:bCs w:val="0"/>
          <w:sz w:val="28"/>
          <w:szCs w:val="28"/>
        </w:rPr>
        <w:t>1.</w:t>
      </w:r>
      <w:r>
        <w:rPr>
          <w:rFonts w:ascii="Times New Roman" w:hAnsi="仿宋" w:eastAsia="仿宋" w:cs="Times New Roman"/>
          <w:bCs w:val="0"/>
          <w:sz w:val="28"/>
          <w:szCs w:val="28"/>
        </w:rPr>
        <w:t>评价原则</w:t>
      </w:r>
      <w:bookmarkEnd w:id="62"/>
    </w:p>
    <w:p w14:paraId="4CE083E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本次绩效评价遵循以下原则：</w:t>
      </w:r>
    </w:p>
    <w:p w14:paraId="328BEB18">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）科学规范原则。绩效评价应当严格执行规定的程序和流程，按照科学可行的要求，采用目标比较法、公众评价法、统计计算法、实地考察、定性与定量相结合的方法，进行绩效评价工作。</w:t>
      </w:r>
    </w:p>
    <w:p w14:paraId="66DCD622">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）公正公开原则。绩效评价应当符合真实、客观、公正的要求，依法公开并接受监督。</w:t>
      </w:r>
    </w:p>
    <w:p w14:paraId="4289882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客观性原则。客观性原则也就是真实性原则，实事求是是绩效评价活动的根本要求。客观、公正，避免个人情感等主观因素的影响。同时，也避免外界因素的制约，以事实为依据，做出准确的判断、真实的评价绩效水平。</w:t>
      </w:r>
    </w:p>
    <w:p w14:paraId="3223D76C">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）相关性原则。绩效评价指标应当针对具体支出及产出进行，评价结果应当清晰反映支出与产出效能的紧密对应关系，反映绩效目标的实现程度。</w:t>
      </w:r>
    </w:p>
    <w:p w14:paraId="5F663239">
      <w:pPr>
        <w:snapToGrid w:val="0"/>
        <w:spacing w:after="204"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发展性原则。项目绩效评价检查的目的是为了完善管理，促进和提高绩效，发挥财政资金的最大价值。发展性原则要求在绩效评价的内容、方法、结果等方面都要有利于提高和发展财政支出资金绩效水平，这是绩效评价的出发点。发展性原则是贯穿绩效评价全过程的主线。</w:t>
      </w:r>
    </w:p>
    <w:p w14:paraId="0A51D923">
      <w:pPr>
        <w:pStyle w:val="11"/>
        <w:spacing w:line="500" w:lineRule="exact"/>
        <w:ind w:left="420" w:leftChars="200"/>
        <w:outlineLvl w:val="2"/>
        <w:rPr>
          <w:rFonts w:ascii="Times New Roman" w:hAnsi="Times New Roman" w:eastAsia="仿宋" w:cs="Times New Roman"/>
          <w:bCs w:val="0"/>
          <w:sz w:val="28"/>
          <w:szCs w:val="28"/>
        </w:rPr>
      </w:pPr>
      <w:bookmarkStart w:id="63" w:name="_Toc15127"/>
      <w:r>
        <w:rPr>
          <w:rFonts w:ascii="Times New Roman" w:hAnsi="Times New Roman" w:eastAsia="仿宋" w:cs="Times New Roman"/>
          <w:bCs w:val="0"/>
          <w:sz w:val="28"/>
          <w:szCs w:val="28"/>
        </w:rPr>
        <w:t>2</w:t>
      </w:r>
      <w:r>
        <w:rPr>
          <w:rFonts w:ascii="Times New Roman" w:hAnsi="仿宋" w:eastAsia="仿宋" w:cs="Times New Roman"/>
          <w:bCs w:val="0"/>
          <w:sz w:val="28"/>
          <w:szCs w:val="28"/>
        </w:rPr>
        <w:t>．评价依据</w:t>
      </w:r>
      <w:bookmarkEnd w:id="63"/>
    </w:p>
    <w:p w14:paraId="5DF79EF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本次绩效评价的依据，主要包括；</w:t>
      </w:r>
    </w:p>
    <w:p w14:paraId="5D91B3F8">
      <w:pPr>
        <w:snapToGrid w:val="0"/>
        <w:spacing w:line="500" w:lineRule="exact"/>
        <w:ind w:firstLine="560" w:firstLineChars="200"/>
        <w:rPr>
          <w:rFonts w:ascii="Times New Roman" w:hAnsi="Times New Roman" w:eastAsia="仿宋" w:cs="Times New Roman"/>
          <w:sz w:val="28"/>
          <w:szCs w:val="28"/>
        </w:rPr>
      </w:pPr>
      <w:bookmarkStart w:id="64" w:name="_Toc7466"/>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）《省人民政府关于推进预算绩效管理的意见》（鄂政发</w:t>
      </w:r>
      <w:r>
        <w:rPr>
          <w:rFonts w:ascii="Times New Roman" w:hAnsi="Times New Roman" w:eastAsia="仿宋" w:cs="Times New Roman"/>
          <w:sz w:val="28"/>
          <w:szCs w:val="28"/>
        </w:rPr>
        <w:t>[2013]9</w:t>
      </w:r>
      <w:r>
        <w:rPr>
          <w:rFonts w:ascii="Times New Roman" w:hAnsi="仿宋" w:eastAsia="仿宋" w:cs="Times New Roman"/>
          <w:sz w:val="28"/>
          <w:szCs w:val="28"/>
        </w:rPr>
        <w:t>号）；</w:t>
      </w:r>
    </w:p>
    <w:p w14:paraId="3DF9CF96">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）《湖北省第三方机构参与预算绩效管理工作暂行办法》（鄂财绩规</w:t>
      </w:r>
      <w:r>
        <w:rPr>
          <w:rFonts w:ascii="Times New Roman" w:hAnsi="Times New Roman" w:eastAsia="仿宋" w:cs="Times New Roman"/>
          <w:sz w:val="28"/>
          <w:szCs w:val="28"/>
        </w:rPr>
        <w:t>[2014]3</w:t>
      </w:r>
      <w:r>
        <w:rPr>
          <w:rFonts w:ascii="Times New Roman" w:hAnsi="仿宋" w:eastAsia="仿宋" w:cs="Times New Roman"/>
          <w:sz w:val="28"/>
          <w:szCs w:val="28"/>
        </w:rPr>
        <w:t>号）；</w:t>
      </w:r>
    </w:p>
    <w:p w14:paraId="4F5684F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）《中华人民共和国预算法》（</w:t>
      </w:r>
      <w:r>
        <w:rPr>
          <w:rFonts w:ascii="Times New Roman" w:hAnsi="Times New Roman" w:eastAsia="仿宋" w:cs="Times New Roman"/>
          <w:sz w:val="28"/>
          <w:szCs w:val="28"/>
        </w:rPr>
        <w:t>2011</w:t>
      </w:r>
      <w:r>
        <w:rPr>
          <w:rFonts w:ascii="Times New Roman" w:hAnsi="仿宋" w:eastAsia="仿宋" w:cs="Times New Roman"/>
          <w:sz w:val="28"/>
          <w:szCs w:val="28"/>
        </w:rPr>
        <w:t>年修订版）；</w:t>
      </w:r>
    </w:p>
    <w:p w14:paraId="3A87D20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w:t>
      </w:r>
    </w:p>
    <w:p w14:paraId="7585182D">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）《关于推进预算绩效管理的指导意见》（财预</w:t>
      </w:r>
      <w:r>
        <w:rPr>
          <w:rFonts w:ascii="Times New Roman" w:hAnsi="Times New Roman" w:eastAsia="仿宋" w:cs="Times New Roman"/>
          <w:sz w:val="28"/>
          <w:szCs w:val="28"/>
        </w:rPr>
        <w:t>[2011]416</w:t>
      </w:r>
      <w:r>
        <w:rPr>
          <w:rFonts w:ascii="Times New Roman" w:hAnsi="仿宋" w:eastAsia="仿宋" w:cs="Times New Roman"/>
          <w:sz w:val="28"/>
          <w:szCs w:val="28"/>
        </w:rPr>
        <w:t>号）；</w:t>
      </w:r>
    </w:p>
    <w:p w14:paraId="46C66F22">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6</w:t>
      </w:r>
      <w:r>
        <w:rPr>
          <w:rFonts w:ascii="Times New Roman" w:hAnsi="仿宋" w:eastAsia="仿宋" w:cs="Times New Roman"/>
          <w:sz w:val="28"/>
          <w:szCs w:val="28"/>
        </w:rPr>
        <w:t>）《湖北省省级财政项目资金绩效评价实施暂行办法》（鄂财绩发</w:t>
      </w:r>
      <w:r>
        <w:rPr>
          <w:rFonts w:ascii="Times New Roman" w:hAnsi="Times New Roman" w:eastAsia="仿宋" w:cs="Times New Roman"/>
          <w:sz w:val="28"/>
          <w:szCs w:val="28"/>
        </w:rPr>
        <w:t>[2012]5</w:t>
      </w:r>
      <w:r>
        <w:rPr>
          <w:rFonts w:ascii="Times New Roman" w:hAnsi="仿宋" w:eastAsia="仿宋" w:cs="Times New Roman"/>
          <w:sz w:val="28"/>
          <w:szCs w:val="28"/>
        </w:rPr>
        <w:t>号）</w:t>
      </w:r>
    </w:p>
    <w:p w14:paraId="7067BFA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7</w:t>
      </w:r>
      <w:r>
        <w:rPr>
          <w:rFonts w:ascii="Times New Roman" w:hAnsi="仿宋" w:eastAsia="仿宋" w:cs="Times New Roman"/>
          <w:sz w:val="28"/>
          <w:szCs w:val="28"/>
        </w:rPr>
        <w:t>）《预算绩效评价共性指标体系框架》（财预</w:t>
      </w:r>
      <w:r>
        <w:rPr>
          <w:rFonts w:ascii="Times New Roman" w:hAnsi="Times New Roman" w:eastAsia="仿宋" w:cs="Times New Roman"/>
          <w:sz w:val="28"/>
          <w:szCs w:val="28"/>
        </w:rPr>
        <w:t>[2013]53</w:t>
      </w:r>
      <w:r>
        <w:rPr>
          <w:rFonts w:ascii="Times New Roman" w:hAnsi="仿宋" w:eastAsia="仿宋" w:cs="Times New Roman"/>
          <w:sz w:val="28"/>
          <w:szCs w:val="28"/>
        </w:rPr>
        <w:t>号）；</w:t>
      </w:r>
    </w:p>
    <w:p w14:paraId="5337456E">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8</w:t>
      </w:r>
      <w:r>
        <w:rPr>
          <w:rFonts w:ascii="Times New Roman" w:hAnsi="仿宋" w:eastAsia="仿宋" w:cs="Times New Roman"/>
          <w:sz w:val="28"/>
          <w:szCs w:val="28"/>
        </w:rPr>
        <w:t>）</w:t>
      </w:r>
      <w:r>
        <w:rPr>
          <w:rFonts w:ascii="Times New Roman" w:hAnsi="Times New Roman" w:eastAsia="仿宋" w:cs="Times New Roman"/>
          <w:sz w:val="28"/>
          <w:szCs w:val="28"/>
        </w:rPr>
        <w:t xml:space="preserve"> </w:t>
      </w:r>
      <w:r>
        <w:rPr>
          <w:rFonts w:ascii="Times New Roman" w:hAnsi="仿宋" w:eastAsia="仿宋" w:cs="Times New Roman"/>
          <w:sz w:val="28"/>
          <w:szCs w:val="28"/>
        </w:rPr>
        <w:t>《湖北省财政项目资金绩效评价操作指南》（鄂财函</w:t>
      </w:r>
      <w:r>
        <w:rPr>
          <w:rFonts w:ascii="Times New Roman" w:hAnsi="Times New Roman" w:eastAsia="仿宋" w:cs="Times New Roman"/>
          <w:sz w:val="28"/>
          <w:szCs w:val="28"/>
        </w:rPr>
        <w:t>[2014]376</w:t>
      </w:r>
      <w:r>
        <w:rPr>
          <w:rFonts w:ascii="Times New Roman" w:hAnsi="仿宋" w:eastAsia="仿宋" w:cs="Times New Roman"/>
          <w:sz w:val="28"/>
          <w:szCs w:val="28"/>
        </w:rPr>
        <w:t>号）；</w:t>
      </w:r>
    </w:p>
    <w:p w14:paraId="2B60321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9</w:t>
      </w:r>
      <w:r>
        <w:rPr>
          <w:rFonts w:ascii="Times New Roman" w:hAnsi="仿宋" w:eastAsia="仿宋" w:cs="Times New Roman"/>
          <w:sz w:val="28"/>
          <w:szCs w:val="28"/>
        </w:rPr>
        <w:t>）《市财政局关于开展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w:t>
      </w:r>
    </w:p>
    <w:p w14:paraId="2E60B904">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10</w:t>
      </w:r>
      <w:r>
        <w:rPr>
          <w:rFonts w:ascii="Times New Roman" w:hAnsi="仿宋" w:eastAsia="仿宋" w:cs="Times New Roman"/>
          <w:sz w:val="28"/>
          <w:szCs w:val="28"/>
        </w:rPr>
        <w:t>）硚口区财政局《</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w:t>
      </w:r>
    </w:p>
    <w:p w14:paraId="391C0B9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11</w:t>
      </w:r>
      <w:r>
        <w:rPr>
          <w:rFonts w:ascii="Times New Roman" w:hAnsi="仿宋" w:eastAsia="仿宋" w:cs="Times New Roman"/>
          <w:sz w:val="28"/>
          <w:szCs w:val="28"/>
        </w:rPr>
        <w:t>）部门职能职责、中长期发展规划、年度工作计划、年度绩效目标及《财政支出项目绩效目标申报表》；</w:t>
      </w:r>
    </w:p>
    <w:p w14:paraId="4BEFFB4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12</w:t>
      </w:r>
      <w:r>
        <w:rPr>
          <w:rFonts w:ascii="Times New Roman" w:hAnsi="仿宋" w:eastAsia="仿宋" w:cs="Times New Roman"/>
          <w:sz w:val="28"/>
          <w:szCs w:val="28"/>
        </w:rPr>
        <w:t>）其他与绩效评价工作有关的政策、制度性文件、项目规划、年度财务报告或决算报告等；</w:t>
      </w:r>
    </w:p>
    <w:p w14:paraId="78A50FAD">
      <w:pPr>
        <w:snapToGrid w:val="0"/>
        <w:spacing w:line="500" w:lineRule="exact"/>
        <w:ind w:firstLine="560" w:firstLineChars="200"/>
        <w:jc w:val="left"/>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13</w:t>
      </w:r>
      <w:r>
        <w:rPr>
          <w:rFonts w:ascii="Times New Roman" w:hAnsi="仿宋" w:eastAsia="仿宋" w:cs="Times New Roman"/>
          <w:sz w:val="28"/>
          <w:szCs w:val="28"/>
        </w:rPr>
        <w:t>）评价工作人员取得的其他资料。</w:t>
      </w:r>
    </w:p>
    <w:p w14:paraId="72D4847C">
      <w:pPr>
        <w:pStyle w:val="11"/>
        <w:spacing w:line="500" w:lineRule="exact"/>
        <w:ind w:left="420" w:leftChars="200"/>
        <w:outlineLvl w:val="2"/>
        <w:rPr>
          <w:rFonts w:ascii="Times New Roman" w:hAnsi="Times New Roman" w:eastAsia="仿宋" w:cs="Times New Roman"/>
          <w:bCs w:val="0"/>
          <w:sz w:val="28"/>
          <w:szCs w:val="28"/>
        </w:rPr>
      </w:pPr>
      <w:r>
        <w:rPr>
          <w:rFonts w:ascii="Times New Roman" w:hAnsi="Times New Roman" w:eastAsia="仿宋" w:cs="Times New Roman"/>
          <w:bCs w:val="0"/>
          <w:sz w:val="28"/>
          <w:szCs w:val="28"/>
        </w:rPr>
        <w:t>3.</w:t>
      </w:r>
      <w:r>
        <w:rPr>
          <w:rFonts w:ascii="Times New Roman" w:hAnsi="仿宋" w:eastAsia="仿宋" w:cs="Times New Roman"/>
          <w:bCs w:val="0"/>
          <w:sz w:val="28"/>
          <w:szCs w:val="28"/>
        </w:rPr>
        <w:t>评价指标体系</w:t>
      </w:r>
      <w:bookmarkEnd w:id="64"/>
    </w:p>
    <w:p w14:paraId="7A1B7616">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根据《财政支出绩效评价管理暂行办法》（财预</w:t>
      </w:r>
      <w:r>
        <w:rPr>
          <w:rFonts w:ascii="Times New Roman" w:hAnsi="Times New Roman" w:eastAsia="仿宋" w:cs="Times New Roman"/>
          <w:sz w:val="28"/>
          <w:szCs w:val="28"/>
        </w:rPr>
        <w:t>[2011]285</w:t>
      </w:r>
      <w:r>
        <w:rPr>
          <w:rFonts w:ascii="Times New Roman" w:hAnsi="仿宋" w:eastAsia="仿宋" w:cs="Times New Roman"/>
          <w:sz w:val="28"/>
          <w:szCs w:val="28"/>
        </w:rPr>
        <w:t>号）、</w:t>
      </w:r>
      <w:r>
        <w:rPr>
          <w:rFonts w:ascii="Times New Roman" w:hAnsi="仿宋" w:eastAsia="仿宋" w:cs="Times New Roman"/>
          <w:sz w:val="28"/>
        </w:rPr>
        <w:t>《湖北省省级财政项目资金绩效评价实施暂行办法》（鄂财绩发</w:t>
      </w:r>
      <w:r>
        <w:rPr>
          <w:rFonts w:ascii="Times New Roman" w:hAnsi="Times New Roman" w:eastAsia="仿宋" w:cs="Times New Roman"/>
          <w:sz w:val="28"/>
          <w:szCs w:val="28"/>
        </w:rPr>
        <w:t>[</w:t>
      </w:r>
      <w:r>
        <w:rPr>
          <w:rFonts w:ascii="Times New Roman" w:hAnsi="Times New Roman" w:eastAsia="仿宋" w:cs="Times New Roman"/>
          <w:sz w:val="28"/>
        </w:rPr>
        <w:t>2012</w:t>
      </w:r>
      <w:r>
        <w:rPr>
          <w:rFonts w:ascii="Times New Roman" w:hAnsi="Times New Roman" w:eastAsia="仿宋" w:cs="Times New Roman"/>
          <w:sz w:val="28"/>
          <w:szCs w:val="28"/>
        </w:rPr>
        <w:t>]</w:t>
      </w:r>
      <w:r>
        <w:rPr>
          <w:rFonts w:ascii="Times New Roman" w:hAnsi="Times New Roman" w:eastAsia="仿宋" w:cs="Times New Roman"/>
          <w:sz w:val="28"/>
        </w:rPr>
        <w:t>5</w:t>
      </w:r>
      <w:r>
        <w:rPr>
          <w:rFonts w:ascii="Times New Roman" w:hAnsi="仿宋" w:eastAsia="仿宋" w:cs="Times New Roman"/>
          <w:sz w:val="28"/>
        </w:rPr>
        <w:t>号）、</w:t>
      </w:r>
      <w:r>
        <w:rPr>
          <w:rFonts w:ascii="Times New Roman" w:hAnsi="仿宋" w:eastAsia="仿宋" w:cs="Times New Roman"/>
          <w:sz w:val="28"/>
          <w:szCs w:val="28"/>
        </w:rPr>
        <w:t>《预算绩效评价共性指标体系框架》（财预</w:t>
      </w:r>
      <w:r>
        <w:rPr>
          <w:rFonts w:ascii="Times New Roman" w:hAnsi="Times New Roman" w:eastAsia="仿宋" w:cs="Times New Roman"/>
          <w:sz w:val="28"/>
          <w:szCs w:val="28"/>
        </w:rPr>
        <w:t>[2013]53</w:t>
      </w:r>
      <w:r>
        <w:rPr>
          <w:rFonts w:ascii="Times New Roman" w:hAnsi="仿宋" w:eastAsia="仿宋" w:cs="Times New Roman"/>
          <w:sz w:val="28"/>
          <w:szCs w:val="28"/>
        </w:rPr>
        <w:t>号）、《市财政局关于开展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号）及《</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年区直预算绩效评价及项目支出绩效执行监控工作方案》中有关财政支出绩效评价指标体系指导框架，并结合本项目的具体情况，设计了</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年度基层党建综合事务经费项目支出评价指标体系框架，从业务项目涉及的预算执行情况、项目产出、项目效果三个维度，采用了</w:t>
      </w:r>
      <w:r>
        <w:rPr>
          <w:rFonts w:ascii="Times New Roman" w:hAnsi="Times New Roman" w:eastAsia="仿宋" w:cs="Times New Roman"/>
          <w:sz w:val="28"/>
          <w:szCs w:val="28"/>
        </w:rPr>
        <w:t>5</w:t>
      </w:r>
      <w:r>
        <w:rPr>
          <w:rFonts w:ascii="Times New Roman" w:hAnsi="仿宋" w:eastAsia="仿宋" w:cs="Times New Roman"/>
          <w:sz w:val="28"/>
          <w:szCs w:val="28"/>
        </w:rPr>
        <w:t>个二级指标，设计了</w:t>
      </w:r>
      <w:r>
        <w:rPr>
          <w:rFonts w:ascii="Times New Roman" w:hAnsi="Times New Roman" w:eastAsia="仿宋" w:cs="Times New Roman"/>
          <w:sz w:val="28"/>
          <w:szCs w:val="28"/>
        </w:rPr>
        <w:t>9</w:t>
      </w:r>
      <w:r>
        <w:rPr>
          <w:rFonts w:ascii="Times New Roman" w:hAnsi="仿宋" w:eastAsia="仿宋" w:cs="Times New Roman"/>
          <w:sz w:val="28"/>
          <w:szCs w:val="28"/>
        </w:rPr>
        <w:t>个三级指标，精细化</w:t>
      </w:r>
      <w:r>
        <w:rPr>
          <w:rFonts w:ascii="Times New Roman" w:hAnsi="Times New Roman" w:eastAsia="仿宋" w:cs="Times New Roman"/>
          <w:sz w:val="28"/>
          <w:szCs w:val="28"/>
        </w:rPr>
        <w:t>19</w:t>
      </w:r>
      <w:r>
        <w:rPr>
          <w:rFonts w:ascii="Times New Roman" w:hAnsi="仿宋" w:eastAsia="仿宋" w:cs="Times New Roman"/>
          <w:sz w:val="28"/>
          <w:szCs w:val="28"/>
        </w:rPr>
        <w:t>个具体评价标准，对</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年度基层党建综合事务经费项目财政支出绩效进行综合评价。</w:t>
      </w:r>
    </w:p>
    <w:p w14:paraId="00E7741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）项目预算执行情况评价指标</w:t>
      </w:r>
    </w:p>
    <w:p w14:paraId="3679148F">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该指标重点评价项目的立项、资金落实、财务管理等，由</w:t>
      </w:r>
      <w:r>
        <w:rPr>
          <w:rFonts w:ascii="Times New Roman" w:hAnsi="Times New Roman" w:eastAsia="仿宋" w:cs="Times New Roman"/>
          <w:sz w:val="28"/>
          <w:szCs w:val="28"/>
        </w:rPr>
        <w:t>3</w:t>
      </w:r>
      <w:r>
        <w:rPr>
          <w:rFonts w:ascii="Times New Roman" w:hAnsi="仿宋" w:eastAsia="仿宋" w:cs="Times New Roman"/>
          <w:sz w:val="28"/>
          <w:szCs w:val="28"/>
        </w:rPr>
        <w:t>个二级指标、</w:t>
      </w:r>
      <w:r>
        <w:rPr>
          <w:rFonts w:ascii="Times New Roman" w:hAnsi="Times New Roman" w:eastAsia="仿宋" w:cs="Times New Roman"/>
          <w:sz w:val="28"/>
          <w:szCs w:val="28"/>
        </w:rPr>
        <w:t>5</w:t>
      </w:r>
      <w:r>
        <w:rPr>
          <w:rFonts w:ascii="Times New Roman" w:hAnsi="仿宋" w:eastAsia="仿宋" w:cs="Times New Roman"/>
          <w:sz w:val="28"/>
          <w:szCs w:val="28"/>
        </w:rPr>
        <w:t>个三级指标、</w:t>
      </w:r>
      <w:r>
        <w:rPr>
          <w:rFonts w:ascii="Times New Roman" w:hAnsi="Times New Roman" w:eastAsia="仿宋" w:cs="Times New Roman"/>
          <w:sz w:val="28"/>
          <w:szCs w:val="28"/>
        </w:rPr>
        <w:t>12</w:t>
      </w:r>
      <w:r>
        <w:rPr>
          <w:rFonts w:ascii="Times New Roman" w:hAnsi="仿宋" w:eastAsia="仿宋" w:cs="Times New Roman"/>
          <w:sz w:val="28"/>
          <w:szCs w:val="28"/>
        </w:rPr>
        <w:t>个细化评价标准组成，分值权重为</w:t>
      </w:r>
      <w:r>
        <w:rPr>
          <w:rFonts w:ascii="Times New Roman" w:hAnsi="Times New Roman" w:eastAsia="仿宋" w:cs="Times New Roman"/>
          <w:sz w:val="28"/>
          <w:szCs w:val="28"/>
        </w:rPr>
        <w:t>20</w:t>
      </w:r>
      <w:r>
        <w:rPr>
          <w:rFonts w:ascii="Times New Roman" w:hAnsi="仿宋" w:eastAsia="仿宋" w:cs="Times New Roman"/>
          <w:sz w:val="28"/>
          <w:szCs w:val="28"/>
        </w:rPr>
        <w:t>分，各指标的含义、评分标准、分值分布详见下表。</w:t>
      </w:r>
    </w:p>
    <w:p w14:paraId="65B978EC">
      <w:pPr>
        <w:snapToGrid w:val="0"/>
        <w:spacing w:line="440" w:lineRule="exact"/>
        <w:rPr>
          <w:rFonts w:ascii="Times New Roman" w:hAnsi="Times New Roman" w:eastAsia="仿宋" w:cs="Times New Roman"/>
        </w:rPr>
      </w:pPr>
    </w:p>
    <w:tbl>
      <w:tblPr>
        <w:tblStyle w:val="12"/>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47"/>
        <w:gridCol w:w="1129"/>
        <w:gridCol w:w="2486"/>
        <w:gridCol w:w="3045"/>
        <w:gridCol w:w="870"/>
      </w:tblGrid>
      <w:tr w14:paraId="3423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tcBorders>
              <w:tl2br w:val="nil"/>
              <w:tr2bl w:val="nil"/>
            </w:tcBorders>
            <w:shd w:val="clear" w:color="000000" w:fill="FFFFFF"/>
            <w:vAlign w:val="center"/>
          </w:tcPr>
          <w:p w14:paraId="6399BE06">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一级指标</w:t>
            </w:r>
          </w:p>
        </w:tc>
        <w:tc>
          <w:tcPr>
            <w:tcW w:w="747" w:type="dxa"/>
            <w:tcBorders>
              <w:tl2br w:val="nil"/>
              <w:tr2bl w:val="nil"/>
            </w:tcBorders>
            <w:shd w:val="clear" w:color="000000" w:fill="FFFFFF"/>
            <w:vAlign w:val="center"/>
          </w:tcPr>
          <w:p w14:paraId="324284C8">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二级指标</w:t>
            </w:r>
          </w:p>
        </w:tc>
        <w:tc>
          <w:tcPr>
            <w:tcW w:w="1129" w:type="dxa"/>
            <w:tcBorders>
              <w:tl2br w:val="nil"/>
              <w:tr2bl w:val="nil"/>
            </w:tcBorders>
            <w:shd w:val="clear" w:color="000000" w:fill="FFFFFF"/>
            <w:vAlign w:val="center"/>
          </w:tcPr>
          <w:p w14:paraId="26422D3B">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三级指标</w:t>
            </w:r>
          </w:p>
        </w:tc>
        <w:tc>
          <w:tcPr>
            <w:tcW w:w="2486" w:type="dxa"/>
            <w:tcBorders>
              <w:tl2br w:val="nil"/>
              <w:tr2bl w:val="nil"/>
            </w:tcBorders>
            <w:shd w:val="clear" w:color="000000" w:fill="FFFFFF"/>
            <w:vAlign w:val="center"/>
          </w:tcPr>
          <w:p w14:paraId="5CBE8B68">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指标解释</w:t>
            </w:r>
          </w:p>
        </w:tc>
        <w:tc>
          <w:tcPr>
            <w:tcW w:w="3045" w:type="dxa"/>
            <w:tcBorders>
              <w:tl2br w:val="nil"/>
              <w:tr2bl w:val="nil"/>
            </w:tcBorders>
            <w:shd w:val="clear" w:color="000000" w:fill="FFFFFF"/>
            <w:vAlign w:val="center"/>
          </w:tcPr>
          <w:p w14:paraId="6B866A8F">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评分标准</w:t>
            </w:r>
          </w:p>
        </w:tc>
        <w:tc>
          <w:tcPr>
            <w:tcW w:w="870" w:type="dxa"/>
            <w:tcBorders>
              <w:tl2br w:val="nil"/>
              <w:tr2bl w:val="nil"/>
            </w:tcBorders>
            <w:shd w:val="clear" w:color="000000" w:fill="FFFFFF"/>
            <w:vAlign w:val="center"/>
          </w:tcPr>
          <w:p w14:paraId="683D5BDA">
            <w:pPr>
              <w:widowControl/>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标准分值</w:t>
            </w:r>
          </w:p>
        </w:tc>
      </w:tr>
      <w:tr w14:paraId="704D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restart"/>
            <w:tcBorders>
              <w:tl2br w:val="nil"/>
              <w:tr2bl w:val="nil"/>
            </w:tcBorders>
            <w:shd w:val="clear" w:color="000000" w:fill="FFFFFF"/>
            <w:textDirection w:val="tbRlV"/>
            <w:vAlign w:val="center"/>
          </w:tcPr>
          <w:p w14:paraId="7E731C67">
            <w:pPr>
              <w:widowControl/>
              <w:ind w:left="113" w:right="113"/>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预算执行情况（</w:t>
            </w:r>
            <w:r>
              <w:rPr>
                <w:rFonts w:ascii="Times New Roman" w:hAnsi="Times New Roman" w:eastAsia="仿宋" w:cs="Times New Roman"/>
                <w:color w:val="000000"/>
                <w:kern w:val="0"/>
                <w:sz w:val="24"/>
                <w:szCs w:val="24"/>
              </w:rPr>
              <w:t>20</w:t>
            </w:r>
            <w:r>
              <w:rPr>
                <w:rFonts w:ascii="Times New Roman" w:hAnsi="仿宋" w:eastAsia="仿宋" w:cs="Times New Roman"/>
                <w:color w:val="000000"/>
                <w:kern w:val="0"/>
                <w:sz w:val="24"/>
                <w:szCs w:val="24"/>
              </w:rPr>
              <w:t>分）</w:t>
            </w:r>
          </w:p>
        </w:tc>
        <w:tc>
          <w:tcPr>
            <w:tcW w:w="747" w:type="dxa"/>
            <w:vMerge w:val="restart"/>
            <w:tcBorders>
              <w:tl2br w:val="nil"/>
              <w:tr2bl w:val="nil"/>
            </w:tcBorders>
            <w:shd w:val="clear" w:color="000000" w:fill="FFFFFF"/>
            <w:vAlign w:val="center"/>
          </w:tcPr>
          <w:p w14:paraId="65A116A0">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项目立项</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11</w:t>
            </w:r>
            <w:r>
              <w:rPr>
                <w:rFonts w:ascii="Times New Roman" w:hAnsi="仿宋" w:eastAsia="仿宋" w:cs="Times New Roman"/>
                <w:color w:val="000000"/>
                <w:kern w:val="0"/>
                <w:sz w:val="24"/>
                <w:szCs w:val="24"/>
              </w:rPr>
              <w:t>分）</w:t>
            </w:r>
          </w:p>
        </w:tc>
        <w:tc>
          <w:tcPr>
            <w:tcW w:w="1129" w:type="dxa"/>
            <w:vMerge w:val="restart"/>
            <w:tcBorders>
              <w:tl2br w:val="nil"/>
              <w:tr2bl w:val="nil"/>
            </w:tcBorders>
            <w:shd w:val="clear" w:color="000000" w:fill="FFFFFF"/>
            <w:vAlign w:val="center"/>
          </w:tcPr>
          <w:p w14:paraId="35D0EA6C">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项目立项规范性</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3</w:t>
            </w:r>
            <w:r>
              <w:rPr>
                <w:rFonts w:ascii="Times New Roman" w:hAnsi="仿宋" w:eastAsia="仿宋" w:cs="Times New Roman"/>
                <w:color w:val="000000"/>
                <w:kern w:val="0"/>
                <w:sz w:val="24"/>
                <w:szCs w:val="24"/>
              </w:rPr>
              <w:t>分）</w:t>
            </w:r>
          </w:p>
        </w:tc>
        <w:tc>
          <w:tcPr>
            <w:tcW w:w="2486" w:type="dxa"/>
            <w:vMerge w:val="restart"/>
            <w:tcBorders>
              <w:tl2br w:val="nil"/>
              <w:tr2bl w:val="nil"/>
            </w:tcBorders>
            <w:shd w:val="clear" w:color="000000" w:fill="FFFFFF"/>
            <w:vAlign w:val="center"/>
          </w:tcPr>
          <w:p w14:paraId="2D1B90BE">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项目的申请、设立过程是否符合相关要求，用以反映和考核项目立项的规范情况</w:t>
            </w:r>
          </w:p>
        </w:tc>
        <w:tc>
          <w:tcPr>
            <w:tcW w:w="3045" w:type="dxa"/>
            <w:tcBorders>
              <w:tl2br w:val="nil"/>
              <w:tr2bl w:val="nil"/>
            </w:tcBorders>
            <w:shd w:val="clear" w:color="000000" w:fill="FFFFFF"/>
            <w:vAlign w:val="center"/>
          </w:tcPr>
          <w:p w14:paraId="6DDED55A">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①项目按照规定的程序申请设立</w:t>
            </w:r>
          </w:p>
        </w:tc>
        <w:tc>
          <w:tcPr>
            <w:tcW w:w="870" w:type="dxa"/>
            <w:tcBorders>
              <w:tl2br w:val="nil"/>
              <w:tr2bl w:val="nil"/>
            </w:tcBorders>
            <w:shd w:val="clear" w:color="000000" w:fill="FFFFFF"/>
            <w:vAlign w:val="center"/>
          </w:tcPr>
          <w:p w14:paraId="0392E14C">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3265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6EBDAD65">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543B5A02">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08176491">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7BC3FCDD">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71121FA3">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②所提交的文件、材料符合相关要求</w:t>
            </w:r>
          </w:p>
        </w:tc>
        <w:tc>
          <w:tcPr>
            <w:tcW w:w="870" w:type="dxa"/>
            <w:tcBorders>
              <w:tl2br w:val="nil"/>
              <w:tr2bl w:val="nil"/>
            </w:tcBorders>
            <w:shd w:val="clear" w:color="000000" w:fill="FFFFFF"/>
            <w:vAlign w:val="center"/>
          </w:tcPr>
          <w:p w14:paraId="3EF0A44B">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4C13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2" w:type="dxa"/>
            <w:vMerge w:val="continue"/>
            <w:tcBorders>
              <w:tl2br w:val="nil"/>
              <w:tr2bl w:val="nil"/>
            </w:tcBorders>
            <w:shd w:val="clear" w:color="auto" w:fill="auto"/>
            <w:vAlign w:val="center"/>
          </w:tcPr>
          <w:p w14:paraId="50009FF5">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0C4C4EA6">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0B728E98">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4DC3FE46">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3C8500BC">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③事前已经过集体决策等</w:t>
            </w:r>
          </w:p>
        </w:tc>
        <w:tc>
          <w:tcPr>
            <w:tcW w:w="870" w:type="dxa"/>
            <w:tcBorders>
              <w:tl2br w:val="nil"/>
              <w:tr2bl w:val="nil"/>
            </w:tcBorders>
            <w:shd w:val="clear" w:color="000000" w:fill="FFFFFF"/>
            <w:vAlign w:val="center"/>
          </w:tcPr>
          <w:p w14:paraId="0CC66266">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2532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7E8AD78C">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14E55ACE">
            <w:pPr>
              <w:widowControl/>
              <w:jc w:val="center"/>
              <w:rPr>
                <w:rFonts w:ascii="Times New Roman" w:hAnsi="Times New Roman" w:eastAsia="仿宋" w:cs="Times New Roman"/>
                <w:color w:val="000000"/>
                <w:kern w:val="0"/>
                <w:sz w:val="24"/>
                <w:szCs w:val="24"/>
              </w:rPr>
            </w:pPr>
          </w:p>
        </w:tc>
        <w:tc>
          <w:tcPr>
            <w:tcW w:w="1129" w:type="dxa"/>
            <w:vMerge w:val="restart"/>
            <w:tcBorders>
              <w:tl2br w:val="nil"/>
              <w:tr2bl w:val="nil"/>
            </w:tcBorders>
            <w:shd w:val="clear" w:color="auto" w:fill="auto"/>
            <w:vAlign w:val="center"/>
          </w:tcPr>
          <w:p w14:paraId="287C0336">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绩效指标明确性</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8</w:t>
            </w:r>
            <w:r>
              <w:rPr>
                <w:rFonts w:ascii="Times New Roman" w:hAnsi="仿宋" w:eastAsia="仿宋" w:cs="Times New Roman"/>
                <w:color w:val="000000"/>
                <w:kern w:val="0"/>
                <w:sz w:val="24"/>
                <w:szCs w:val="24"/>
              </w:rPr>
              <w:t>分）</w:t>
            </w:r>
          </w:p>
        </w:tc>
        <w:tc>
          <w:tcPr>
            <w:tcW w:w="2486" w:type="dxa"/>
            <w:vMerge w:val="restart"/>
            <w:tcBorders>
              <w:tl2br w:val="nil"/>
              <w:tr2bl w:val="nil"/>
            </w:tcBorders>
            <w:shd w:val="clear" w:color="auto" w:fill="auto"/>
            <w:vAlign w:val="center"/>
          </w:tcPr>
          <w:p w14:paraId="430818DC">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依据绩效目标设定的绩效指标是否清晰、细化、可衡量等，用以反映和考核项目绩效目标的明细化情况</w:t>
            </w:r>
          </w:p>
        </w:tc>
        <w:tc>
          <w:tcPr>
            <w:tcW w:w="3045" w:type="dxa"/>
            <w:tcBorders>
              <w:tl2br w:val="nil"/>
              <w:tr2bl w:val="nil"/>
            </w:tcBorders>
            <w:shd w:val="clear" w:color="000000" w:fill="FFFFFF"/>
            <w:vAlign w:val="center"/>
          </w:tcPr>
          <w:p w14:paraId="0A7079CE">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①项目绩效目标细化、具体</w:t>
            </w:r>
          </w:p>
        </w:tc>
        <w:tc>
          <w:tcPr>
            <w:tcW w:w="870" w:type="dxa"/>
            <w:tcBorders>
              <w:tl2br w:val="nil"/>
              <w:tr2bl w:val="nil"/>
            </w:tcBorders>
            <w:shd w:val="clear" w:color="000000" w:fill="FFFFFF"/>
            <w:vAlign w:val="center"/>
          </w:tcPr>
          <w:p w14:paraId="2FC278D9">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60C6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2A21A097">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5A157893">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3273F9A2">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3E9F1B95">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6EC54A71">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②项目绩效目标清晰、可衡量</w:t>
            </w:r>
          </w:p>
        </w:tc>
        <w:tc>
          <w:tcPr>
            <w:tcW w:w="870" w:type="dxa"/>
            <w:tcBorders>
              <w:tl2br w:val="nil"/>
              <w:tr2bl w:val="nil"/>
            </w:tcBorders>
            <w:shd w:val="clear" w:color="000000" w:fill="FFFFFF"/>
            <w:vAlign w:val="center"/>
          </w:tcPr>
          <w:p w14:paraId="373329D8">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6CCC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117A6840">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5B652B6A">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1CCFC229">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66D20F0B">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18B21EE8">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③与项目年度任务数或计划数相对应</w:t>
            </w:r>
          </w:p>
        </w:tc>
        <w:tc>
          <w:tcPr>
            <w:tcW w:w="870" w:type="dxa"/>
            <w:tcBorders>
              <w:tl2br w:val="nil"/>
              <w:tr2bl w:val="nil"/>
            </w:tcBorders>
            <w:shd w:val="clear" w:color="000000" w:fill="FFFFFF"/>
            <w:vAlign w:val="center"/>
          </w:tcPr>
          <w:p w14:paraId="030F60CF">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56DA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201527B5">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5B313A10">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auto" w:fill="auto"/>
            <w:vAlign w:val="center"/>
          </w:tcPr>
          <w:p w14:paraId="4F63DC20">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auto" w:fill="auto"/>
            <w:vAlign w:val="center"/>
          </w:tcPr>
          <w:p w14:paraId="07CA1A8D">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470C2631">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④与预算确定的项目投资额或资金量相匹配</w:t>
            </w:r>
          </w:p>
        </w:tc>
        <w:tc>
          <w:tcPr>
            <w:tcW w:w="870" w:type="dxa"/>
            <w:tcBorders>
              <w:tl2br w:val="nil"/>
              <w:tr2bl w:val="nil"/>
            </w:tcBorders>
            <w:shd w:val="clear" w:color="000000" w:fill="FFFFFF"/>
            <w:vAlign w:val="center"/>
          </w:tcPr>
          <w:p w14:paraId="2B68BD41">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5AA6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20DAAC13">
            <w:pPr>
              <w:widowControl/>
              <w:jc w:val="center"/>
              <w:rPr>
                <w:rFonts w:ascii="Times New Roman" w:hAnsi="Times New Roman" w:eastAsia="仿宋" w:cs="Times New Roman"/>
                <w:color w:val="000000"/>
                <w:kern w:val="0"/>
                <w:sz w:val="24"/>
                <w:szCs w:val="24"/>
              </w:rPr>
            </w:pPr>
          </w:p>
        </w:tc>
        <w:tc>
          <w:tcPr>
            <w:tcW w:w="747" w:type="dxa"/>
            <w:vMerge w:val="restart"/>
            <w:tcBorders>
              <w:tl2br w:val="nil"/>
              <w:tr2bl w:val="nil"/>
            </w:tcBorders>
            <w:shd w:val="clear" w:color="000000" w:fill="FFFFFF"/>
            <w:vAlign w:val="center"/>
          </w:tcPr>
          <w:p w14:paraId="726874A5">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资金落实</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4</w:t>
            </w:r>
            <w:r>
              <w:rPr>
                <w:rFonts w:ascii="Times New Roman" w:hAnsi="仿宋" w:eastAsia="仿宋" w:cs="Times New Roman"/>
                <w:color w:val="000000"/>
                <w:kern w:val="0"/>
                <w:sz w:val="24"/>
                <w:szCs w:val="24"/>
              </w:rPr>
              <w:t>分）</w:t>
            </w:r>
          </w:p>
        </w:tc>
        <w:tc>
          <w:tcPr>
            <w:tcW w:w="1129" w:type="dxa"/>
            <w:tcBorders>
              <w:tl2br w:val="nil"/>
              <w:tr2bl w:val="nil"/>
            </w:tcBorders>
            <w:shd w:val="clear" w:color="000000" w:fill="FFFFFF"/>
            <w:vAlign w:val="center"/>
          </w:tcPr>
          <w:p w14:paraId="4E7A6603">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资金到位率</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2</w:t>
            </w:r>
            <w:r>
              <w:rPr>
                <w:rFonts w:ascii="Times New Roman" w:hAnsi="仿宋" w:eastAsia="仿宋" w:cs="Times New Roman"/>
                <w:color w:val="000000"/>
                <w:kern w:val="0"/>
                <w:sz w:val="24"/>
                <w:szCs w:val="24"/>
              </w:rPr>
              <w:t>分）</w:t>
            </w:r>
          </w:p>
        </w:tc>
        <w:tc>
          <w:tcPr>
            <w:tcW w:w="2486" w:type="dxa"/>
            <w:tcBorders>
              <w:tl2br w:val="nil"/>
              <w:tr2bl w:val="nil"/>
            </w:tcBorders>
            <w:shd w:val="clear" w:color="000000" w:fill="FFFFFF"/>
            <w:vAlign w:val="center"/>
          </w:tcPr>
          <w:p w14:paraId="673A9A5D">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实际到位资金与计划投入资金的比率，用以反映和考核资金落实情况对项目实施的总体保障程度</w:t>
            </w:r>
          </w:p>
        </w:tc>
        <w:tc>
          <w:tcPr>
            <w:tcW w:w="3045" w:type="dxa"/>
            <w:tcBorders>
              <w:tl2br w:val="nil"/>
              <w:tr2bl w:val="nil"/>
            </w:tcBorders>
            <w:shd w:val="clear" w:color="000000" w:fill="FFFFFF"/>
            <w:vAlign w:val="center"/>
          </w:tcPr>
          <w:p w14:paraId="5A9F325B">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资金到位率</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（实际到位资金</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计划投入资金）</w:t>
            </w:r>
            <w:r>
              <w:rPr>
                <w:rFonts w:ascii="Times New Roman" w:hAnsi="Times New Roman" w:eastAsia="仿宋" w:cs="Times New Roman"/>
                <w:color w:val="000000"/>
                <w:kern w:val="0"/>
                <w:sz w:val="24"/>
                <w:szCs w:val="24"/>
              </w:rPr>
              <w:t>×100%</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实际得分</w:t>
            </w:r>
            <w:r>
              <w:rPr>
                <w:rFonts w:ascii="Times New Roman" w:hAnsi="Times New Roman" w:eastAsia="仿宋" w:cs="Times New Roman"/>
                <w:color w:val="000000"/>
                <w:kern w:val="0"/>
                <w:sz w:val="24"/>
                <w:szCs w:val="24"/>
              </w:rPr>
              <w:t xml:space="preserve">= </w:t>
            </w:r>
            <w:r>
              <w:rPr>
                <w:rFonts w:ascii="Times New Roman" w:hAnsi="仿宋" w:eastAsia="仿宋" w:cs="Times New Roman"/>
                <w:color w:val="000000"/>
                <w:kern w:val="0"/>
                <w:sz w:val="24"/>
                <w:szCs w:val="24"/>
              </w:rPr>
              <w:t>资金到位率</w:t>
            </w:r>
            <w:r>
              <w:rPr>
                <w:rFonts w:ascii="Times New Roman" w:hAnsi="Times New Roman" w:eastAsia="仿宋" w:cs="Times New Roman"/>
                <w:color w:val="000000"/>
                <w:kern w:val="0"/>
                <w:sz w:val="24"/>
                <w:szCs w:val="24"/>
              </w:rPr>
              <w:t xml:space="preserve"> × </w:t>
            </w:r>
            <w:r>
              <w:rPr>
                <w:rFonts w:ascii="Times New Roman" w:hAnsi="仿宋" w:eastAsia="仿宋" w:cs="Times New Roman"/>
                <w:color w:val="000000"/>
                <w:kern w:val="0"/>
                <w:sz w:val="24"/>
                <w:szCs w:val="24"/>
              </w:rPr>
              <w:t>标准分值</w:t>
            </w:r>
          </w:p>
        </w:tc>
        <w:tc>
          <w:tcPr>
            <w:tcW w:w="870" w:type="dxa"/>
            <w:tcBorders>
              <w:tl2br w:val="nil"/>
              <w:tr2bl w:val="nil"/>
            </w:tcBorders>
            <w:shd w:val="clear" w:color="000000" w:fill="FFFFFF"/>
            <w:vAlign w:val="center"/>
          </w:tcPr>
          <w:p w14:paraId="2D04435B">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4812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682E2879">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3035DEC4">
            <w:pPr>
              <w:widowControl/>
              <w:jc w:val="center"/>
              <w:rPr>
                <w:rFonts w:ascii="Times New Roman" w:hAnsi="Times New Roman" w:eastAsia="仿宋" w:cs="Times New Roman"/>
                <w:color w:val="000000"/>
                <w:kern w:val="0"/>
                <w:sz w:val="24"/>
                <w:szCs w:val="24"/>
              </w:rPr>
            </w:pPr>
          </w:p>
        </w:tc>
        <w:tc>
          <w:tcPr>
            <w:tcW w:w="1129" w:type="dxa"/>
            <w:tcBorders>
              <w:tl2br w:val="nil"/>
              <w:tr2bl w:val="nil"/>
            </w:tcBorders>
            <w:shd w:val="clear" w:color="000000" w:fill="FFFFFF"/>
            <w:vAlign w:val="center"/>
          </w:tcPr>
          <w:p w14:paraId="43BB00C8">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资金使用率</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2</w:t>
            </w:r>
            <w:r>
              <w:rPr>
                <w:rFonts w:ascii="Times New Roman" w:hAnsi="仿宋" w:eastAsia="仿宋" w:cs="Times New Roman"/>
                <w:color w:val="000000"/>
                <w:kern w:val="0"/>
                <w:sz w:val="24"/>
                <w:szCs w:val="24"/>
              </w:rPr>
              <w:t>分）</w:t>
            </w:r>
          </w:p>
        </w:tc>
        <w:tc>
          <w:tcPr>
            <w:tcW w:w="2486" w:type="dxa"/>
            <w:tcBorders>
              <w:tl2br w:val="nil"/>
              <w:tr2bl w:val="nil"/>
            </w:tcBorders>
            <w:shd w:val="clear" w:color="000000" w:fill="FFFFFF"/>
            <w:vAlign w:val="center"/>
          </w:tcPr>
          <w:p w14:paraId="2ADC7AEA">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实际使用资金与已到位资金的比率，用以反映和考核项目执行程度</w:t>
            </w:r>
          </w:p>
        </w:tc>
        <w:tc>
          <w:tcPr>
            <w:tcW w:w="3045" w:type="dxa"/>
            <w:tcBorders>
              <w:tl2br w:val="nil"/>
              <w:tr2bl w:val="nil"/>
            </w:tcBorders>
            <w:shd w:val="clear" w:color="000000" w:fill="FFFFFF"/>
            <w:vAlign w:val="center"/>
          </w:tcPr>
          <w:p w14:paraId="153B3EF8">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资金使用率</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（实际使用资金</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应到位资金）</w:t>
            </w:r>
            <w:r>
              <w:rPr>
                <w:rFonts w:ascii="Times New Roman" w:hAnsi="Times New Roman" w:eastAsia="仿宋" w:cs="Times New Roman"/>
                <w:color w:val="000000"/>
                <w:kern w:val="0"/>
                <w:sz w:val="24"/>
                <w:szCs w:val="24"/>
              </w:rPr>
              <w:t>×100%</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实际得分</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资金使用率</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标准分值</w:t>
            </w:r>
          </w:p>
        </w:tc>
        <w:tc>
          <w:tcPr>
            <w:tcW w:w="870" w:type="dxa"/>
            <w:tcBorders>
              <w:tl2br w:val="nil"/>
              <w:tr2bl w:val="nil"/>
            </w:tcBorders>
            <w:shd w:val="clear" w:color="000000" w:fill="FFFFFF"/>
            <w:vAlign w:val="center"/>
          </w:tcPr>
          <w:p w14:paraId="3BE81955">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724A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571DCDB0">
            <w:pPr>
              <w:widowControl/>
              <w:jc w:val="center"/>
              <w:rPr>
                <w:rFonts w:ascii="Times New Roman" w:hAnsi="Times New Roman" w:eastAsia="仿宋" w:cs="Times New Roman"/>
                <w:color w:val="000000"/>
                <w:kern w:val="0"/>
                <w:sz w:val="24"/>
                <w:szCs w:val="24"/>
              </w:rPr>
            </w:pPr>
          </w:p>
        </w:tc>
        <w:tc>
          <w:tcPr>
            <w:tcW w:w="747" w:type="dxa"/>
            <w:vMerge w:val="restart"/>
            <w:tcBorders>
              <w:tl2br w:val="nil"/>
              <w:tr2bl w:val="nil"/>
            </w:tcBorders>
            <w:shd w:val="clear" w:color="auto" w:fill="auto"/>
            <w:vAlign w:val="center"/>
          </w:tcPr>
          <w:p w14:paraId="0614D80E">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财务管理</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5</w:t>
            </w:r>
            <w:r>
              <w:rPr>
                <w:rFonts w:ascii="Times New Roman" w:hAnsi="仿宋" w:eastAsia="仿宋" w:cs="Times New Roman"/>
                <w:color w:val="000000"/>
                <w:kern w:val="0"/>
                <w:sz w:val="24"/>
                <w:szCs w:val="24"/>
              </w:rPr>
              <w:t>分）</w:t>
            </w:r>
          </w:p>
        </w:tc>
        <w:tc>
          <w:tcPr>
            <w:tcW w:w="1129" w:type="dxa"/>
            <w:vMerge w:val="restart"/>
            <w:tcBorders>
              <w:tl2br w:val="nil"/>
              <w:tr2bl w:val="nil"/>
            </w:tcBorders>
            <w:shd w:val="clear" w:color="000000" w:fill="FFFFFF"/>
            <w:vAlign w:val="center"/>
          </w:tcPr>
          <w:p w14:paraId="1F80451A">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资金使用合规性</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5</w:t>
            </w:r>
            <w:r>
              <w:rPr>
                <w:rFonts w:ascii="Times New Roman" w:hAnsi="仿宋" w:eastAsia="仿宋" w:cs="Times New Roman"/>
                <w:color w:val="000000"/>
                <w:kern w:val="0"/>
                <w:sz w:val="24"/>
                <w:szCs w:val="24"/>
              </w:rPr>
              <w:t>分）</w:t>
            </w:r>
          </w:p>
        </w:tc>
        <w:tc>
          <w:tcPr>
            <w:tcW w:w="2486" w:type="dxa"/>
            <w:vMerge w:val="restart"/>
            <w:tcBorders>
              <w:tl2br w:val="nil"/>
              <w:tr2bl w:val="nil"/>
            </w:tcBorders>
            <w:shd w:val="clear" w:color="000000" w:fill="FFFFFF"/>
            <w:vAlign w:val="center"/>
          </w:tcPr>
          <w:p w14:paraId="70F73336">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项目资金使用是否符合相关的财务管理制度规定，用以反映和考核项目资金的规范运行情况</w:t>
            </w:r>
          </w:p>
        </w:tc>
        <w:tc>
          <w:tcPr>
            <w:tcW w:w="3045" w:type="dxa"/>
            <w:tcBorders>
              <w:tl2br w:val="nil"/>
              <w:tr2bl w:val="nil"/>
            </w:tcBorders>
            <w:shd w:val="clear" w:color="000000" w:fill="FFFFFF"/>
            <w:vAlign w:val="center"/>
          </w:tcPr>
          <w:p w14:paraId="36F0248A">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①符合国家财经法规和财务管理制度以及有关专项资金管理办法的规定</w:t>
            </w:r>
          </w:p>
        </w:tc>
        <w:tc>
          <w:tcPr>
            <w:tcW w:w="870" w:type="dxa"/>
            <w:tcBorders>
              <w:tl2br w:val="nil"/>
              <w:tr2bl w:val="nil"/>
            </w:tcBorders>
            <w:shd w:val="clear" w:color="000000" w:fill="FFFFFF"/>
            <w:vAlign w:val="center"/>
          </w:tcPr>
          <w:p w14:paraId="4E178D82">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r>
      <w:tr w14:paraId="308F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7C1CB471">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64809057">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000000" w:fill="FFFFFF"/>
            <w:vAlign w:val="center"/>
          </w:tcPr>
          <w:p w14:paraId="29BF8898">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000000" w:fill="FFFFFF"/>
            <w:vAlign w:val="center"/>
          </w:tcPr>
          <w:p w14:paraId="7868C6DD">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6BF12EFC">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②不存在超标准、超计划支出等情况</w:t>
            </w:r>
          </w:p>
        </w:tc>
        <w:tc>
          <w:tcPr>
            <w:tcW w:w="870" w:type="dxa"/>
            <w:tcBorders>
              <w:tl2br w:val="nil"/>
              <w:tr2bl w:val="nil"/>
            </w:tcBorders>
            <w:shd w:val="clear" w:color="000000" w:fill="FFFFFF"/>
            <w:vAlign w:val="center"/>
          </w:tcPr>
          <w:p w14:paraId="112F41AC">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r w14:paraId="4F22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52" w:type="dxa"/>
            <w:vMerge w:val="continue"/>
            <w:tcBorders>
              <w:tl2br w:val="nil"/>
              <w:tr2bl w:val="nil"/>
            </w:tcBorders>
            <w:shd w:val="clear" w:color="auto" w:fill="auto"/>
            <w:vAlign w:val="center"/>
          </w:tcPr>
          <w:p w14:paraId="7FAC6A87">
            <w:pPr>
              <w:widowControl/>
              <w:jc w:val="center"/>
              <w:rPr>
                <w:rFonts w:ascii="Times New Roman" w:hAnsi="Times New Roman" w:eastAsia="仿宋" w:cs="Times New Roman"/>
                <w:color w:val="000000"/>
                <w:kern w:val="0"/>
                <w:sz w:val="24"/>
                <w:szCs w:val="24"/>
              </w:rPr>
            </w:pPr>
          </w:p>
        </w:tc>
        <w:tc>
          <w:tcPr>
            <w:tcW w:w="747" w:type="dxa"/>
            <w:vMerge w:val="continue"/>
            <w:tcBorders>
              <w:tl2br w:val="nil"/>
              <w:tr2bl w:val="nil"/>
            </w:tcBorders>
            <w:shd w:val="clear" w:color="auto" w:fill="auto"/>
            <w:vAlign w:val="center"/>
          </w:tcPr>
          <w:p w14:paraId="72241CB2">
            <w:pPr>
              <w:widowControl/>
              <w:jc w:val="center"/>
              <w:rPr>
                <w:rFonts w:ascii="Times New Roman" w:hAnsi="Times New Roman" w:eastAsia="仿宋" w:cs="Times New Roman"/>
                <w:color w:val="000000"/>
                <w:kern w:val="0"/>
                <w:sz w:val="24"/>
                <w:szCs w:val="24"/>
              </w:rPr>
            </w:pPr>
          </w:p>
        </w:tc>
        <w:tc>
          <w:tcPr>
            <w:tcW w:w="1129" w:type="dxa"/>
            <w:vMerge w:val="continue"/>
            <w:tcBorders>
              <w:tl2br w:val="nil"/>
              <w:tr2bl w:val="nil"/>
            </w:tcBorders>
            <w:shd w:val="clear" w:color="000000" w:fill="FFFFFF"/>
            <w:vAlign w:val="center"/>
          </w:tcPr>
          <w:p w14:paraId="2B2B3E45">
            <w:pPr>
              <w:widowControl/>
              <w:adjustRightInd w:val="0"/>
              <w:snapToGrid w:val="0"/>
              <w:jc w:val="center"/>
              <w:rPr>
                <w:rFonts w:ascii="Times New Roman" w:hAnsi="Times New Roman" w:eastAsia="仿宋" w:cs="Times New Roman"/>
                <w:color w:val="000000"/>
                <w:kern w:val="0"/>
                <w:sz w:val="24"/>
                <w:szCs w:val="24"/>
              </w:rPr>
            </w:pPr>
          </w:p>
        </w:tc>
        <w:tc>
          <w:tcPr>
            <w:tcW w:w="2486" w:type="dxa"/>
            <w:vMerge w:val="continue"/>
            <w:tcBorders>
              <w:tl2br w:val="nil"/>
              <w:tr2bl w:val="nil"/>
            </w:tcBorders>
            <w:shd w:val="clear" w:color="000000" w:fill="FFFFFF"/>
            <w:vAlign w:val="center"/>
          </w:tcPr>
          <w:p w14:paraId="23C0C864">
            <w:pPr>
              <w:widowControl/>
              <w:adjustRightInd w:val="0"/>
              <w:snapToGrid w:val="0"/>
              <w:jc w:val="center"/>
              <w:rPr>
                <w:rFonts w:ascii="Times New Roman" w:hAnsi="Times New Roman" w:eastAsia="仿宋" w:cs="Times New Roman"/>
                <w:color w:val="000000"/>
                <w:kern w:val="0"/>
                <w:sz w:val="24"/>
                <w:szCs w:val="24"/>
              </w:rPr>
            </w:pPr>
          </w:p>
        </w:tc>
        <w:tc>
          <w:tcPr>
            <w:tcW w:w="3045" w:type="dxa"/>
            <w:tcBorders>
              <w:tl2br w:val="nil"/>
              <w:tr2bl w:val="nil"/>
            </w:tcBorders>
            <w:shd w:val="clear" w:color="000000" w:fill="FFFFFF"/>
            <w:vAlign w:val="center"/>
          </w:tcPr>
          <w:p w14:paraId="436985E1">
            <w:pPr>
              <w:widowControl/>
              <w:adjustRightInd w:val="0"/>
              <w:snapToGrid w:val="0"/>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③不存在截留、挤占、挪用、虚列支出等情况</w:t>
            </w:r>
          </w:p>
        </w:tc>
        <w:tc>
          <w:tcPr>
            <w:tcW w:w="870" w:type="dxa"/>
            <w:tcBorders>
              <w:tl2br w:val="nil"/>
              <w:tr2bl w:val="nil"/>
            </w:tcBorders>
            <w:shd w:val="clear" w:color="000000" w:fill="FFFFFF"/>
            <w:vAlign w:val="center"/>
          </w:tcPr>
          <w:p w14:paraId="41F1A3C7">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r>
    </w:tbl>
    <w:p w14:paraId="42643B93">
      <w:pPr>
        <w:snapToGrid w:val="0"/>
        <w:spacing w:beforeLines="50" w:line="500" w:lineRule="exact"/>
        <w:ind w:firstLine="560" w:firstLineChars="200"/>
        <w:rPr>
          <w:rFonts w:ascii="Times New Roman" w:hAnsi="Times New Roman" w:eastAsia="仿宋" w:cs="Times New Roman"/>
          <w:sz w:val="28"/>
          <w:szCs w:val="28"/>
        </w:rPr>
      </w:pPr>
      <w:bookmarkStart w:id="65" w:name="_Toc11790"/>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）项目产出评价指标体系</w:t>
      </w:r>
    </w:p>
    <w:p w14:paraId="5BA2A5E8">
      <w:pPr>
        <w:snapToGrid w:val="0"/>
        <w:spacing w:afterLines="50" w:line="500" w:lineRule="exact"/>
        <w:ind w:firstLine="560" w:firstLineChars="200"/>
        <w:jc w:val="left"/>
        <w:rPr>
          <w:rFonts w:ascii="Times New Roman" w:hAnsi="Times New Roman" w:eastAsia="仿宋" w:cs="Times New Roman"/>
          <w:sz w:val="28"/>
          <w:szCs w:val="28"/>
        </w:rPr>
      </w:pPr>
      <w:r>
        <w:rPr>
          <w:rFonts w:ascii="Times New Roman" w:hAnsi="仿宋" w:eastAsia="仿宋" w:cs="Times New Roman"/>
          <w:sz w:val="28"/>
          <w:szCs w:val="28"/>
        </w:rPr>
        <w:t>该指标重点评价项目产出等，由</w:t>
      </w:r>
      <w:r>
        <w:rPr>
          <w:rFonts w:ascii="Times New Roman" w:hAnsi="Times New Roman" w:eastAsia="仿宋" w:cs="Times New Roman"/>
          <w:sz w:val="28"/>
          <w:szCs w:val="28"/>
        </w:rPr>
        <w:t>1</w:t>
      </w:r>
      <w:r>
        <w:rPr>
          <w:rFonts w:ascii="Times New Roman" w:hAnsi="仿宋" w:eastAsia="仿宋" w:cs="Times New Roman"/>
          <w:sz w:val="28"/>
          <w:szCs w:val="28"/>
        </w:rPr>
        <w:t>个二级指标、</w:t>
      </w:r>
      <w:r>
        <w:rPr>
          <w:rFonts w:ascii="Times New Roman" w:hAnsi="Times New Roman" w:eastAsia="仿宋" w:cs="Times New Roman"/>
          <w:sz w:val="28"/>
          <w:szCs w:val="28"/>
        </w:rPr>
        <w:t>1</w:t>
      </w:r>
      <w:r>
        <w:rPr>
          <w:rFonts w:ascii="Times New Roman" w:hAnsi="仿宋" w:eastAsia="仿宋" w:cs="Times New Roman"/>
          <w:sz w:val="28"/>
          <w:szCs w:val="28"/>
        </w:rPr>
        <w:t>个三级指标、</w:t>
      </w:r>
      <w:r>
        <w:rPr>
          <w:rFonts w:ascii="Times New Roman" w:hAnsi="Times New Roman" w:eastAsia="仿宋" w:cs="Times New Roman"/>
          <w:sz w:val="28"/>
          <w:szCs w:val="28"/>
        </w:rPr>
        <w:t>4</w:t>
      </w:r>
      <w:r>
        <w:rPr>
          <w:rFonts w:ascii="Times New Roman" w:hAnsi="仿宋" w:eastAsia="仿宋" w:cs="Times New Roman"/>
          <w:sz w:val="28"/>
          <w:szCs w:val="28"/>
        </w:rPr>
        <w:t>个细化评价标准组成，分值权重为</w:t>
      </w:r>
      <w:r>
        <w:rPr>
          <w:rFonts w:ascii="Times New Roman" w:hAnsi="Times New Roman" w:eastAsia="仿宋" w:cs="Times New Roman"/>
          <w:sz w:val="28"/>
          <w:szCs w:val="28"/>
        </w:rPr>
        <w:t>40</w:t>
      </w:r>
      <w:r>
        <w:rPr>
          <w:rFonts w:ascii="Times New Roman" w:hAnsi="仿宋" w:eastAsia="仿宋" w:cs="Times New Roman"/>
          <w:sz w:val="28"/>
          <w:szCs w:val="28"/>
        </w:rPr>
        <w:t>分</w:t>
      </w:r>
      <w:r>
        <w:rPr>
          <w:rFonts w:ascii="Times New Roman" w:hAnsi="Times New Roman" w:eastAsia="仿宋" w:cs="Times New Roman"/>
          <w:sz w:val="28"/>
          <w:szCs w:val="28"/>
        </w:rPr>
        <w:t>,</w:t>
      </w:r>
      <w:r>
        <w:rPr>
          <w:rFonts w:ascii="Times New Roman" w:hAnsi="仿宋" w:eastAsia="仿宋" w:cs="Times New Roman"/>
          <w:sz w:val="28"/>
          <w:szCs w:val="28"/>
        </w:rPr>
        <w:t>各指标的含义、评分标准、分值分布详见下表。</w:t>
      </w:r>
    </w:p>
    <w:tbl>
      <w:tblPr>
        <w:tblStyle w:val="12"/>
        <w:tblW w:w="8823" w:type="dxa"/>
        <w:tblInd w:w="93" w:type="dxa"/>
        <w:tblLayout w:type="fixed"/>
        <w:tblCellMar>
          <w:top w:w="0" w:type="dxa"/>
          <w:left w:w="108" w:type="dxa"/>
          <w:bottom w:w="0" w:type="dxa"/>
          <w:right w:w="108" w:type="dxa"/>
        </w:tblCellMar>
      </w:tblPr>
      <w:tblGrid>
        <w:gridCol w:w="776"/>
        <w:gridCol w:w="769"/>
        <w:gridCol w:w="867"/>
        <w:gridCol w:w="1351"/>
        <w:gridCol w:w="4223"/>
        <w:gridCol w:w="837"/>
      </w:tblGrid>
      <w:tr w14:paraId="45AAF73C">
        <w:tblPrEx>
          <w:tblCellMar>
            <w:top w:w="0" w:type="dxa"/>
            <w:left w:w="108" w:type="dxa"/>
            <w:bottom w:w="0" w:type="dxa"/>
            <w:right w:w="108" w:type="dxa"/>
          </w:tblCellMar>
        </w:tblPrEx>
        <w:trPr>
          <w:trHeight w:val="540" w:hRule="atLeast"/>
        </w:trPr>
        <w:tc>
          <w:tcPr>
            <w:tcW w:w="776" w:type="dxa"/>
            <w:tcBorders>
              <w:top w:val="single" w:color="auto" w:sz="4" w:space="0"/>
              <w:left w:val="single" w:color="auto" w:sz="4" w:space="0"/>
              <w:bottom w:val="single" w:color="auto" w:sz="4" w:space="0"/>
              <w:right w:val="single" w:color="auto" w:sz="4" w:space="0"/>
            </w:tcBorders>
            <w:shd w:val="clear" w:color="000000" w:fill="FFFFFF"/>
            <w:vAlign w:val="center"/>
          </w:tcPr>
          <w:p w14:paraId="501EE192">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一级指标</w:t>
            </w:r>
          </w:p>
        </w:tc>
        <w:tc>
          <w:tcPr>
            <w:tcW w:w="769" w:type="dxa"/>
            <w:tcBorders>
              <w:top w:val="single" w:color="auto" w:sz="4" w:space="0"/>
              <w:left w:val="single" w:color="auto" w:sz="4" w:space="0"/>
              <w:bottom w:val="single" w:color="auto" w:sz="4" w:space="0"/>
              <w:right w:val="single" w:color="auto" w:sz="4" w:space="0"/>
            </w:tcBorders>
            <w:shd w:val="clear" w:color="000000" w:fill="FFFFFF"/>
            <w:vAlign w:val="center"/>
          </w:tcPr>
          <w:p w14:paraId="18E674DD">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二级指标</w:t>
            </w:r>
          </w:p>
        </w:tc>
        <w:tc>
          <w:tcPr>
            <w:tcW w:w="867" w:type="dxa"/>
            <w:tcBorders>
              <w:top w:val="single" w:color="auto" w:sz="4" w:space="0"/>
              <w:left w:val="single" w:color="auto" w:sz="4" w:space="0"/>
              <w:bottom w:val="single" w:color="auto" w:sz="4" w:space="0"/>
              <w:right w:val="single" w:color="auto" w:sz="4" w:space="0"/>
            </w:tcBorders>
            <w:shd w:val="clear" w:color="000000" w:fill="FFFFFF"/>
            <w:vAlign w:val="center"/>
          </w:tcPr>
          <w:p w14:paraId="070F5423">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三级指标</w:t>
            </w:r>
          </w:p>
        </w:tc>
        <w:tc>
          <w:tcPr>
            <w:tcW w:w="1351" w:type="dxa"/>
            <w:tcBorders>
              <w:top w:val="single" w:color="auto" w:sz="4" w:space="0"/>
              <w:left w:val="single" w:color="auto" w:sz="4" w:space="0"/>
              <w:bottom w:val="single" w:color="auto" w:sz="4" w:space="0"/>
              <w:right w:val="single" w:color="auto" w:sz="4" w:space="0"/>
            </w:tcBorders>
            <w:shd w:val="clear" w:color="000000" w:fill="FFFFFF"/>
            <w:vAlign w:val="center"/>
          </w:tcPr>
          <w:p w14:paraId="1E2E8E03">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指标解释</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5E669655">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评分标准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36092B07">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标准分值</w:t>
            </w:r>
          </w:p>
        </w:tc>
      </w:tr>
      <w:tr w14:paraId="4925225F">
        <w:tblPrEx>
          <w:tblCellMar>
            <w:top w:w="0" w:type="dxa"/>
            <w:left w:w="108" w:type="dxa"/>
            <w:bottom w:w="0" w:type="dxa"/>
            <w:right w:w="108" w:type="dxa"/>
          </w:tblCellMar>
        </w:tblPrEx>
        <w:trPr>
          <w:trHeight w:val="1069"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000000" w:fill="FFFFFF"/>
            <w:textDirection w:val="tbRlV"/>
            <w:vAlign w:val="center"/>
          </w:tcPr>
          <w:p w14:paraId="0703C2A0">
            <w:pPr>
              <w:widowControl/>
              <w:adjustRightInd w:val="0"/>
              <w:snapToGrid w:val="0"/>
              <w:spacing w:line="120" w:lineRule="atLeast"/>
              <w:ind w:left="113" w:right="113"/>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产出指标（</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7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ABC6DE">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项目产出</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8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6E8A4C">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实际完成率</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1351" w:type="dxa"/>
            <w:tcBorders>
              <w:top w:val="single" w:color="auto" w:sz="4" w:space="0"/>
              <w:left w:val="single" w:color="auto" w:sz="4" w:space="0"/>
              <w:bottom w:val="single" w:color="auto" w:sz="4" w:space="0"/>
              <w:right w:val="single" w:color="auto" w:sz="4" w:space="0"/>
            </w:tcBorders>
            <w:shd w:val="clear" w:color="000000" w:fill="FFFFFF"/>
            <w:vAlign w:val="center"/>
          </w:tcPr>
          <w:p w14:paraId="009D2D59">
            <w:pPr>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党员教育工作</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642FC2BF">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r>
              <w:rPr>
                <w:rFonts w:ascii="Times New Roman" w:hAnsi="仿宋" w:eastAsia="仿宋" w:cs="Times New Roman"/>
                <w:color w:val="000000"/>
                <w:kern w:val="0"/>
                <w:sz w:val="24"/>
                <w:szCs w:val="24"/>
              </w:rPr>
              <w:t>完成上级组织的培训计划</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在职党员培训</w:t>
            </w:r>
            <w:r>
              <w:rPr>
                <w:rFonts w:ascii="Times New Roman" w:hAnsi="Times New Roman" w:eastAsia="仿宋" w:cs="Times New Roman"/>
                <w:color w:val="000000"/>
                <w:kern w:val="0"/>
                <w:sz w:val="24"/>
                <w:szCs w:val="24"/>
              </w:rPr>
              <w:t>100%,</w:t>
            </w:r>
            <w:r>
              <w:rPr>
                <w:rFonts w:ascii="Times New Roman" w:hAnsi="仿宋" w:eastAsia="仿宋" w:cs="Times New Roman"/>
                <w:color w:val="000000"/>
                <w:kern w:val="0"/>
                <w:sz w:val="24"/>
                <w:szCs w:val="24"/>
              </w:rPr>
              <w:t>离退休党员培训</w:t>
            </w:r>
            <w:r>
              <w:rPr>
                <w:rFonts w:ascii="Times New Roman" w:hAnsi="Times New Roman" w:eastAsia="仿宋" w:cs="Times New Roman"/>
                <w:color w:val="000000"/>
                <w:kern w:val="0"/>
                <w:sz w:val="24"/>
                <w:szCs w:val="24"/>
              </w:rPr>
              <w:t>85%</w:t>
            </w:r>
            <w:r>
              <w:rPr>
                <w:rFonts w:ascii="Times New Roman" w:hAnsi="仿宋" w:eastAsia="仿宋" w:cs="Times New Roman"/>
                <w:color w:val="000000"/>
                <w:kern w:val="0"/>
                <w:sz w:val="24"/>
                <w:szCs w:val="24"/>
              </w:rPr>
              <w:t>得该项满分，在职党员培训</w:t>
            </w:r>
            <w:r>
              <w:rPr>
                <w:rFonts w:ascii="Times New Roman" w:hAnsi="Times New Roman" w:eastAsia="仿宋" w:cs="Times New Roman"/>
                <w:color w:val="000000"/>
                <w:kern w:val="0"/>
                <w:sz w:val="24"/>
                <w:szCs w:val="24"/>
              </w:rPr>
              <w:t>50%</w:t>
            </w:r>
            <w:r>
              <w:rPr>
                <w:rFonts w:ascii="Times New Roman" w:hAnsi="仿宋" w:eastAsia="仿宋" w:cs="Times New Roman"/>
                <w:color w:val="000000"/>
                <w:kern w:val="0"/>
                <w:sz w:val="24"/>
                <w:szCs w:val="24"/>
              </w:rPr>
              <w:t>以上</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离退休党员培训</w:t>
            </w:r>
            <w:r>
              <w:rPr>
                <w:rFonts w:ascii="Times New Roman" w:hAnsi="Times New Roman" w:eastAsia="仿宋" w:cs="Times New Roman"/>
                <w:color w:val="000000"/>
                <w:kern w:val="0"/>
                <w:sz w:val="24"/>
                <w:szCs w:val="24"/>
              </w:rPr>
              <w:t>42.5%</w:t>
            </w:r>
            <w:r>
              <w:rPr>
                <w:rFonts w:ascii="Times New Roman" w:hAnsi="仿宋" w:eastAsia="仿宋" w:cs="Times New Roman"/>
                <w:color w:val="000000"/>
                <w:kern w:val="0"/>
                <w:sz w:val="24"/>
                <w:szCs w:val="24"/>
              </w:rPr>
              <w:t>以上得一半分，其余不得分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0D2600F2">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tr w14:paraId="71679506">
        <w:tblPrEx>
          <w:tblCellMar>
            <w:top w:w="0" w:type="dxa"/>
            <w:left w:w="108" w:type="dxa"/>
            <w:bottom w:w="0" w:type="dxa"/>
            <w:right w:w="108" w:type="dxa"/>
          </w:tblCellMar>
        </w:tblPrEx>
        <w:trPr>
          <w:trHeight w:val="949"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2C59CC64">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15294227">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14:paraId="04580B8E">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1351" w:type="dxa"/>
            <w:tcBorders>
              <w:top w:val="single" w:color="auto" w:sz="4" w:space="0"/>
              <w:left w:val="single" w:color="auto" w:sz="4" w:space="0"/>
              <w:bottom w:val="single" w:color="auto" w:sz="4" w:space="0"/>
              <w:right w:val="single" w:color="auto" w:sz="4" w:space="0"/>
            </w:tcBorders>
            <w:shd w:val="clear" w:color="000000" w:fill="FFFFFF"/>
            <w:vAlign w:val="center"/>
          </w:tcPr>
          <w:p w14:paraId="75EFCEEE">
            <w:pPr>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宣传舆情工作</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422614EA">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r>
              <w:rPr>
                <w:rFonts w:ascii="Times New Roman" w:hAnsi="仿宋" w:eastAsia="仿宋" w:cs="Times New Roman"/>
                <w:color w:val="000000"/>
                <w:kern w:val="0"/>
                <w:sz w:val="24"/>
                <w:szCs w:val="24"/>
              </w:rPr>
              <w:t>完成市以上电视、报刊、杂志等新闻报道</w:t>
            </w:r>
            <w:r>
              <w:rPr>
                <w:rFonts w:ascii="Times New Roman" w:hAnsi="Times New Roman" w:eastAsia="仿宋" w:cs="Times New Roman"/>
                <w:color w:val="000000"/>
                <w:kern w:val="0"/>
                <w:sz w:val="24"/>
                <w:szCs w:val="24"/>
              </w:rPr>
              <w:t>4</w:t>
            </w:r>
            <w:r>
              <w:rPr>
                <w:rFonts w:ascii="Times New Roman" w:hAnsi="仿宋" w:eastAsia="仿宋" w:cs="Times New Roman"/>
                <w:color w:val="000000"/>
                <w:kern w:val="0"/>
                <w:sz w:val="24"/>
                <w:szCs w:val="24"/>
              </w:rPr>
              <w:t>篇及以上得该项满分，</w:t>
            </w:r>
            <w:r>
              <w:rPr>
                <w:rFonts w:ascii="Times New Roman" w:hAnsi="Times New Roman" w:eastAsia="仿宋" w:cs="Times New Roman"/>
                <w:color w:val="000000"/>
                <w:kern w:val="0"/>
                <w:sz w:val="24"/>
                <w:szCs w:val="24"/>
              </w:rPr>
              <w:t>2-3</w:t>
            </w:r>
            <w:r>
              <w:rPr>
                <w:rFonts w:ascii="Times New Roman" w:hAnsi="仿宋" w:eastAsia="仿宋" w:cs="Times New Roman"/>
                <w:color w:val="000000"/>
                <w:kern w:val="0"/>
                <w:sz w:val="24"/>
                <w:szCs w:val="24"/>
              </w:rPr>
              <w:t>篇得一半分，其余情况不得分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7E479E47">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r>
              <w:rPr>
                <w:rFonts w:ascii="Times New Roman" w:hAnsi="Times New Roman" w:eastAsia="仿宋" w:cs="Times New Roman"/>
                <w:color w:val="000000"/>
                <w:kern w:val="0"/>
                <w:sz w:val="24"/>
                <w:szCs w:val="24"/>
              </w:rPr>
              <w:t>10</w:t>
            </w:r>
          </w:p>
        </w:tc>
      </w:tr>
      <w:tr w14:paraId="289F4F08">
        <w:tblPrEx>
          <w:tblCellMar>
            <w:top w:w="0" w:type="dxa"/>
            <w:left w:w="108" w:type="dxa"/>
            <w:bottom w:w="0" w:type="dxa"/>
            <w:right w:w="108" w:type="dxa"/>
          </w:tblCellMar>
        </w:tblPrEx>
        <w:trPr>
          <w:trHeight w:val="743"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3F2B6E4F">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406D92B5">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14:paraId="3A958B8A">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p>
        </w:tc>
        <w:tc>
          <w:tcPr>
            <w:tcW w:w="1351" w:type="dxa"/>
            <w:tcBorders>
              <w:top w:val="single" w:color="auto" w:sz="4" w:space="0"/>
              <w:left w:val="single" w:color="auto" w:sz="4" w:space="0"/>
              <w:bottom w:val="single" w:color="auto" w:sz="4" w:space="0"/>
              <w:right w:val="single" w:color="auto" w:sz="4" w:space="0"/>
            </w:tcBorders>
            <w:shd w:val="clear" w:color="000000" w:fill="FFFFFF"/>
            <w:vAlign w:val="center"/>
          </w:tcPr>
          <w:p w14:paraId="5E4F07FB">
            <w:pPr>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开展</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两学一做</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学习教育，推进</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红色引擎工程</w:t>
            </w:r>
            <w:r>
              <w:rPr>
                <w:rFonts w:ascii="Times New Roman" w:hAnsi="Times New Roman" w:eastAsia="仿宋" w:cs="Times New Roman"/>
                <w:color w:val="000000"/>
                <w:kern w:val="0"/>
                <w:sz w:val="24"/>
                <w:szCs w:val="24"/>
              </w:rPr>
              <w:t>”</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76979423">
            <w:pPr>
              <w:widowControl/>
              <w:adjustRightInd w:val="0"/>
              <w:snapToGrid w:val="0"/>
              <w:spacing w:line="120" w:lineRule="atLeast"/>
              <w:jc w:val="center"/>
              <w:rPr>
                <w:rFonts w:ascii="Times New Roman" w:hAnsi="Times New Roman" w:eastAsia="仿宋" w:cs="Times New Roman"/>
                <w:color w:val="000000"/>
                <w:kern w:val="0"/>
                <w:sz w:val="24"/>
                <w:szCs w:val="24"/>
                <w:highlight w:val="yellow"/>
              </w:rPr>
            </w:pPr>
            <w:r>
              <w:rPr>
                <w:rFonts w:ascii="Times New Roman" w:hAnsi="仿宋" w:eastAsia="仿宋" w:cs="Times New Roman"/>
                <w:color w:val="000000"/>
                <w:kern w:val="0"/>
                <w:sz w:val="24"/>
                <w:szCs w:val="24"/>
              </w:rPr>
              <w:t>①每月至少一次党会开展学习教育②全年树立</w:t>
            </w:r>
            <w:r>
              <w:rPr>
                <w:rFonts w:ascii="Times New Roman" w:hAnsi="Times New Roman" w:eastAsia="仿宋" w:cs="Times New Roman"/>
                <w:color w:val="000000"/>
                <w:kern w:val="0"/>
                <w:sz w:val="24"/>
                <w:szCs w:val="24"/>
              </w:rPr>
              <w:t>1-2</w:t>
            </w:r>
            <w:r>
              <w:rPr>
                <w:rFonts w:ascii="Times New Roman" w:hAnsi="仿宋" w:eastAsia="仿宋" w:cs="Times New Roman"/>
                <w:color w:val="000000"/>
                <w:kern w:val="0"/>
                <w:sz w:val="24"/>
                <w:szCs w:val="24"/>
              </w:rPr>
              <w:t>个先进组织典型及</w:t>
            </w:r>
            <w:r>
              <w:rPr>
                <w:rFonts w:ascii="Times New Roman" w:hAnsi="Times New Roman" w:eastAsia="仿宋" w:cs="Times New Roman"/>
                <w:color w:val="000000"/>
                <w:kern w:val="0"/>
                <w:sz w:val="24"/>
                <w:szCs w:val="24"/>
              </w:rPr>
              <w:t>1-2</w:t>
            </w:r>
            <w:r>
              <w:rPr>
                <w:rFonts w:ascii="Times New Roman" w:hAnsi="仿宋" w:eastAsia="仿宋" w:cs="Times New Roman"/>
                <w:color w:val="000000"/>
                <w:kern w:val="0"/>
                <w:sz w:val="24"/>
                <w:szCs w:val="24"/>
              </w:rPr>
              <w:t>个优秀共产党员先进典型。上述两项均完成得该项满分，完成其中一项得一半分，其余情况不得分。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00D59527">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tr w14:paraId="10818202">
        <w:tblPrEx>
          <w:tblCellMar>
            <w:top w:w="0" w:type="dxa"/>
            <w:left w:w="108" w:type="dxa"/>
            <w:bottom w:w="0" w:type="dxa"/>
            <w:right w:w="108" w:type="dxa"/>
          </w:tblCellMar>
        </w:tblPrEx>
        <w:trPr>
          <w:trHeight w:val="769" w:hRule="atLeast"/>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412F952E">
            <w:pPr>
              <w:widowControl/>
              <w:adjustRightInd w:val="0"/>
              <w:snapToGrid w:val="0"/>
              <w:spacing w:line="120" w:lineRule="atLeast"/>
              <w:jc w:val="left"/>
              <w:rPr>
                <w:rFonts w:ascii="Times New Roman" w:hAnsi="Times New Roman" w:eastAsia="仿宋" w:cs="Times New Roman"/>
                <w:color w:val="000000"/>
                <w:kern w:val="0"/>
                <w:sz w:val="24"/>
                <w:szCs w:val="24"/>
                <w:highlight w:val="yellow"/>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14:paraId="3094225D">
            <w:pPr>
              <w:widowControl/>
              <w:adjustRightInd w:val="0"/>
              <w:snapToGrid w:val="0"/>
              <w:spacing w:line="120" w:lineRule="atLeast"/>
              <w:jc w:val="left"/>
              <w:rPr>
                <w:rFonts w:ascii="Times New Roman" w:hAnsi="Times New Roman" w:eastAsia="仿宋" w:cs="Times New Roman"/>
                <w:color w:val="000000"/>
                <w:kern w:val="0"/>
                <w:sz w:val="24"/>
                <w:szCs w:val="24"/>
                <w:highlight w:val="yellow"/>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14:paraId="120DFE26">
            <w:pPr>
              <w:widowControl/>
              <w:adjustRightInd w:val="0"/>
              <w:snapToGrid w:val="0"/>
              <w:spacing w:line="120" w:lineRule="atLeast"/>
              <w:jc w:val="left"/>
              <w:rPr>
                <w:rFonts w:ascii="Times New Roman" w:hAnsi="Times New Roman" w:eastAsia="仿宋" w:cs="Times New Roman"/>
                <w:color w:val="000000"/>
                <w:kern w:val="0"/>
                <w:sz w:val="24"/>
                <w:szCs w:val="24"/>
                <w:highlight w:val="yellow"/>
              </w:rPr>
            </w:pPr>
          </w:p>
        </w:tc>
        <w:tc>
          <w:tcPr>
            <w:tcW w:w="1351" w:type="dxa"/>
            <w:tcBorders>
              <w:top w:val="single" w:color="auto" w:sz="4" w:space="0"/>
              <w:left w:val="single" w:color="auto" w:sz="4" w:space="0"/>
              <w:bottom w:val="single" w:color="auto" w:sz="4" w:space="0"/>
              <w:right w:val="single" w:color="auto" w:sz="4" w:space="0"/>
            </w:tcBorders>
            <w:shd w:val="clear" w:color="000000" w:fill="FFFFFF"/>
          </w:tcPr>
          <w:p w14:paraId="547B23DB">
            <w:pP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民族团结统一战线工作</w:t>
            </w:r>
          </w:p>
        </w:tc>
        <w:tc>
          <w:tcPr>
            <w:tcW w:w="4223" w:type="dxa"/>
            <w:tcBorders>
              <w:top w:val="single" w:color="auto" w:sz="4" w:space="0"/>
              <w:left w:val="single" w:color="auto" w:sz="4" w:space="0"/>
              <w:bottom w:val="single" w:color="auto" w:sz="4" w:space="0"/>
              <w:right w:val="single" w:color="auto" w:sz="4" w:space="0"/>
            </w:tcBorders>
            <w:shd w:val="clear" w:color="000000" w:fill="FFFFFF"/>
            <w:vAlign w:val="center"/>
          </w:tcPr>
          <w:p w14:paraId="0835D2BD">
            <w:pPr>
              <w:widowControl/>
              <w:adjustRightInd w:val="0"/>
              <w:snapToGrid w:val="0"/>
              <w:spacing w:line="120" w:lineRule="atLeast"/>
              <w:jc w:val="left"/>
              <w:rPr>
                <w:rFonts w:ascii="Times New Roman" w:hAnsi="Times New Roman" w:eastAsia="仿宋" w:cs="Times New Roman"/>
                <w:color w:val="000000"/>
                <w:kern w:val="0"/>
                <w:sz w:val="24"/>
                <w:szCs w:val="24"/>
                <w:highlight w:val="yellow"/>
              </w:rPr>
            </w:pPr>
            <w:r>
              <w:rPr>
                <w:rFonts w:ascii="Times New Roman" w:hAnsi="仿宋" w:eastAsia="仿宋" w:cs="Times New Roman"/>
                <w:color w:val="000000"/>
                <w:kern w:val="0"/>
                <w:sz w:val="24"/>
                <w:szCs w:val="24"/>
              </w:rPr>
              <w:t>全面完成民族团结统一战线工作得该项满分，完成率</w:t>
            </w:r>
            <w:r>
              <w:rPr>
                <w:rFonts w:ascii="Times New Roman" w:hAnsi="Times New Roman" w:eastAsia="仿宋" w:cs="Times New Roman"/>
                <w:color w:val="000000"/>
                <w:kern w:val="0"/>
                <w:sz w:val="24"/>
                <w:szCs w:val="24"/>
              </w:rPr>
              <w:t>80.00%</w:t>
            </w:r>
            <w:r>
              <w:rPr>
                <w:rFonts w:ascii="Times New Roman" w:hAnsi="仿宋" w:eastAsia="仿宋" w:cs="Times New Roman"/>
                <w:color w:val="000000"/>
                <w:kern w:val="0"/>
                <w:sz w:val="24"/>
                <w:szCs w:val="24"/>
              </w:rPr>
              <w:t>（含</w:t>
            </w:r>
            <w:r>
              <w:rPr>
                <w:rFonts w:ascii="Times New Roman" w:hAnsi="Times New Roman" w:eastAsia="仿宋" w:cs="Times New Roman"/>
                <w:color w:val="000000"/>
                <w:kern w:val="0"/>
                <w:sz w:val="24"/>
                <w:szCs w:val="24"/>
              </w:rPr>
              <w:t>80.00%</w:t>
            </w:r>
            <w:r>
              <w:rPr>
                <w:rFonts w:ascii="Times New Roman" w:hAnsi="仿宋" w:eastAsia="仿宋" w:cs="Times New Roman"/>
                <w:color w:val="000000"/>
                <w:kern w:val="0"/>
                <w:sz w:val="24"/>
                <w:szCs w:val="24"/>
              </w:rPr>
              <w:t>）以上得</w:t>
            </w:r>
            <w:r>
              <w:rPr>
                <w:rFonts w:ascii="Times New Roman" w:hAnsi="Times New Roman" w:eastAsia="仿宋" w:cs="Times New Roman"/>
                <w:color w:val="000000"/>
                <w:kern w:val="0"/>
                <w:sz w:val="24"/>
                <w:szCs w:val="24"/>
              </w:rPr>
              <w:t>5</w:t>
            </w:r>
            <w:r>
              <w:rPr>
                <w:rFonts w:ascii="Times New Roman" w:hAnsi="仿宋" w:eastAsia="仿宋" w:cs="Times New Roman"/>
                <w:color w:val="000000"/>
                <w:kern w:val="0"/>
                <w:sz w:val="24"/>
                <w:szCs w:val="24"/>
              </w:rPr>
              <w:t>分，其余情况不得分。</w:t>
            </w:r>
          </w:p>
        </w:tc>
        <w:tc>
          <w:tcPr>
            <w:tcW w:w="837" w:type="dxa"/>
            <w:tcBorders>
              <w:top w:val="single" w:color="auto" w:sz="4" w:space="0"/>
              <w:left w:val="single" w:color="auto" w:sz="4" w:space="0"/>
              <w:bottom w:val="single" w:color="auto" w:sz="4" w:space="0"/>
              <w:right w:val="single" w:color="auto" w:sz="4" w:space="0"/>
            </w:tcBorders>
            <w:shd w:val="clear" w:color="000000" w:fill="FFFFFF"/>
            <w:vAlign w:val="center"/>
          </w:tcPr>
          <w:p w14:paraId="7CEFFBBF">
            <w:pPr>
              <w:widowControl/>
              <w:adjustRightInd w:val="0"/>
              <w:snapToGrid w:val="0"/>
              <w:spacing w:line="120" w:lineRule="atLeast"/>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tbl>
    <w:p w14:paraId="041AC104">
      <w:pPr>
        <w:spacing w:beforeLines="50" w:line="500" w:lineRule="exact"/>
        <w:ind w:firstLine="560" w:firstLineChars="200"/>
        <w:rPr>
          <w:rFonts w:ascii="Times New Roman" w:hAnsi="仿宋" w:eastAsia="仿宋" w:cs="Times New Roman"/>
          <w:sz w:val="28"/>
          <w:szCs w:val="28"/>
        </w:rPr>
      </w:pPr>
    </w:p>
    <w:p w14:paraId="74766223">
      <w:pPr>
        <w:spacing w:beforeLines="50"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）项目效果评价指标体系</w:t>
      </w:r>
    </w:p>
    <w:p w14:paraId="0CDA1361">
      <w:pPr>
        <w:snapToGrid w:val="0"/>
        <w:spacing w:afterLines="50" w:line="500" w:lineRule="exact"/>
        <w:ind w:firstLine="560" w:firstLineChars="200"/>
        <w:jc w:val="left"/>
        <w:rPr>
          <w:rFonts w:ascii="Times New Roman" w:hAnsi="Times New Roman" w:eastAsia="仿宋" w:cs="Times New Roman"/>
          <w:sz w:val="28"/>
          <w:szCs w:val="28"/>
        </w:rPr>
      </w:pPr>
      <w:r>
        <w:rPr>
          <w:rFonts w:ascii="Times New Roman" w:hAnsi="仿宋" w:eastAsia="仿宋" w:cs="Times New Roman"/>
          <w:sz w:val="28"/>
          <w:szCs w:val="28"/>
        </w:rPr>
        <w:t>该指标重点评价项目产出和项目绩效等，由</w:t>
      </w:r>
      <w:r>
        <w:rPr>
          <w:rFonts w:ascii="Times New Roman" w:hAnsi="Times New Roman" w:eastAsia="仿宋" w:cs="Times New Roman"/>
          <w:sz w:val="28"/>
          <w:szCs w:val="28"/>
        </w:rPr>
        <w:t>1</w:t>
      </w:r>
      <w:r>
        <w:rPr>
          <w:rFonts w:ascii="Times New Roman" w:hAnsi="仿宋" w:eastAsia="仿宋" w:cs="Times New Roman"/>
          <w:sz w:val="28"/>
          <w:szCs w:val="28"/>
        </w:rPr>
        <w:t>个二级指标、</w:t>
      </w:r>
      <w:r>
        <w:rPr>
          <w:rFonts w:ascii="Times New Roman" w:hAnsi="Times New Roman" w:eastAsia="仿宋" w:cs="Times New Roman"/>
          <w:sz w:val="28"/>
          <w:szCs w:val="28"/>
        </w:rPr>
        <w:t>3</w:t>
      </w:r>
      <w:r>
        <w:rPr>
          <w:rFonts w:ascii="Times New Roman" w:hAnsi="仿宋" w:eastAsia="仿宋" w:cs="Times New Roman"/>
          <w:sz w:val="28"/>
          <w:szCs w:val="28"/>
        </w:rPr>
        <w:t>个三级指标、</w:t>
      </w:r>
      <w:r>
        <w:rPr>
          <w:rFonts w:ascii="Times New Roman" w:hAnsi="Times New Roman" w:eastAsia="仿宋" w:cs="Times New Roman"/>
          <w:sz w:val="28"/>
          <w:szCs w:val="28"/>
        </w:rPr>
        <w:t>3</w:t>
      </w:r>
      <w:r>
        <w:rPr>
          <w:rFonts w:ascii="Times New Roman" w:hAnsi="仿宋" w:eastAsia="仿宋" w:cs="Times New Roman"/>
          <w:sz w:val="28"/>
          <w:szCs w:val="28"/>
        </w:rPr>
        <w:t>个细化评价标准组成，分值权重为</w:t>
      </w:r>
      <w:r>
        <w:rPr>
          <w:rFonts w:ascii="Times New Roman" w:hAnsi="Times New Roman" w:eastAsia="仿宋" w:cs="Times New Roman"/>
          <w:sz w:val="28"/>
          <w:szCs w:val="28"/>
        </w:rPr>
        <w:t>40</w:t>
      </w:r>
      <w:r>
        <w:rPr>
          <w:rFonts w:ascii="Times New Roman" w:hAnsi="仿宋" w:eastAsia="仿宋" w:cs="Times New Roman"/>
          <w:sz w:val="28"/>
          <w:szCs w:val="28"/>
        </w:rPr>
        <w:t>分</w:t>
      </w:r>
      <w:r>
        <w:rPr>
          <w:rFonts w:ascii="Times New Roman" w:hAnsi="Times New Roman" w:eastAsia="仿宋" w:cs="Times New Roman"/>
          <w:sz w:val="28"/>
          <w:szCs w:val="28"/>
        </w:rPr>
        <w:t>,</w:t>
      </w:r>
      <w:r>
        <w:rPr>
          <w:rFonts w:ascii="Times New Roman" w:hAnsi="仿宋" w:eastAsia="仿宋" w:cs="Times New Roman"/>
          <w:sz w:val="28"/>
          <w:szCs w:val="28"/>
        </w:rPr>
        <w:t>各指标的含义、评分标准、分值分布详见下表。</w:t>
      </w:r>
    </w:p>
    <w:tbl>
      <w:tblPr>
        <w:tblStyle w:val="12"/>
        <w:tblW w:w="8823" w:type="dxa"/>
        <w:tblInd w:w="93" w:type="dxa"/>
        <w:tblLayout w:type="fixed"/>
        <w:tblCellMar>
          <w:top w:w="0" w:type="dxa"/>
          <w:left w:w="108" w:type="dxa"/>
          <w:bottom w:w="0" w:type="dxa"/>
          <w:right w:w="108" w:type="dxa"/>
        </w:tblCellMar>
      </w:tblPr>
      <w:tblGrid>
        <w:gridCol w:w="764"/>
        <w:gridCol w:w="751"/>
        <w:gridCol w:w="1296"/>
        <w:gridCol w:w="1755"/>
        <w:gridCol w:w="3524"/>
        <w:gridCol w:w="733"/>
      </w:tblGrid>
      <w:tr w14:paraId="052B9E8B">
        <w:tblPrEx>
          <w:tblCellMar>
            <w:top w:w="0" w:type="dxa"/>
            <w:left w:w="108" w:type="dxa"/>
            <w:bottom w:w="0" w:type="dxa"/>
            <w:right w:w="108" w:type="dxa"/>
          </w:tblCellMar>
        </w:tblPrEx>
        <w:trPr>
          <w:trHeight w:val="540" w:hRule="atLeast"/>
        </w:trPr>
        <w:tc>
          <w:tcPr>
            <w:tcW w:w="764" w:type="dxa"/>
            <w:tcBorders>
              <w:top w:val="single" w:color="auto" w:sz="4" w:space="0"/>
              <w:left w:val="single" w:color="auto" w:sz="4" w:space="0"/>
              <w:bottom w:val="single" w:color="auto" w:sz="4" w:space="0"/>
              <w:right w:val="single" w:color="auto" w:sz="4" w:space="0"/>
            </w:tcBorders>
            <w:shd w:val="clear" w:color="000000" w:fill="FFFFFF"/>
            <w:vAlign w:val="center"/>
          </w:tcPr>
          <w:p w14:paraId="0B16858B">
            <w:pPr>
              <w:widowControl/>
              <w:spacing w:line="260" w:lineRule="exact"/>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一级指标</w:t>
            </w:r>
          </w:p>
        </w:tc>
        <w:tc>
          <w:tcPr>
            <w:tcW w:w="751" w:type="dxa"/>
            <w:tcBorders>
              <w:top w:val="single" w:color="auto" w:sz="4" w:space="0"/>
              <w:left w:val="nil"/>
              <w:bottom w:val="single" w:color="auto" w:sz="4" w:space="0"/>
              <w:right w:val="single" w:color="auto" w:sz="4" w:space="0"/>
            </w:tcBorders>
            <w:shd w:val="clear" w:color="000000" w:fill="FFFFFF"/>
            <w:vAlign w:val="center"/>
          </w:tcPr>
          <w:p w14:paraId="52697D44">
            <w:pPr>
              <w:widowControl/>
              <w:spacing w:line="260" w:lineRule="exact"/>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二级指标</w:t>
            </w:r>
          </w:p>
        </w:tc>
        <w:tc>
          <w:tcPr>
            <w:tcW w:w="1296" w:type="dxa"/>
            <w:tcBorders>
              <w:top w:val="single" w:color="auto" w:sz="4" w:space="0"/>
              <w:left w:val="nil"/>
              <w:bottom w:val="single" w:color="auto" w:sz="4" w:space="0"/>
              <w:right w:val="single" w:color="auto" w:sz="4" w:space="0"/>
            </w:tcBorders>
            <w:shd w:val="clear" w:color="000000" w:fill="FFFFFF"/>
            <w:vAlign w:val="center"/>
          </w:tcPr>
          <w:p w14:paraId="244FD676">
            <w:pPr>
              <w:widowControl/>
              <w:spacing w:line="260" w:lineRule="exact"/>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三级指标</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0FA3B90E">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指标解释</w:t>
            </w:r>
          </w:p>
        </w:tc>
        <w:tc>
          <w:tcPr>
            <w:tcW w:w="3524" w:type="dxa"/>
            <w:tcBorders>
              <w:top w:val="single" w:color="auto" w:sz="4" w:space="0"/>
              <w:left w:val="nil"/>
              <w:bottom w:val="single" w:color="auto" w:sz="4" w:space="0"/>
              <w:right w:val="single" w:color="auto" w:sz="4" w:space="0"/>
            </w:tcBorders>
            <w:shd w:val="clear" w:color="000000" w:fill="FFFFFF"/>
            <w:vAlign w:val="center"/>
          </w:tcPr>
          <w:p w14:paraId="40A800CE">
            <w:pPr>
              <w:widowControl/>
              <w:spacing w:line="260" w:lineRule="exact"/>
              <w:jc w:val="center"/>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评分标准</w:t>
            </w:r>
          </w:p>
        </w:tc>
        <w:tc>
          <w:tcPr>
            <w:tcW w:w="733" w:type="dxa"/>
            <w:tcBorders>
              <w:top w:val="single" w:color="auto" w:sz="4" w:space="0"/>
              <w:left w:val="nil"/>
              <w:bottom w:val="single" w:color="auto" w:sz="4" w:space="0"/>
              <w:right w:val="single" w:color="auto" w:sz="4" w:space="0"/>
            </w:tcBorders>
            <w:shd w:val="clear" w:color="000000" w:fill="FFFFFF"/>
            <w:vAlign w:val="center"/>
          </w:tcPr>
          <w:p w14:paraId="3992B906">
            <w:pPr>
              <w:widowControl/>
              <w:spacing w:line="260" w:lineRule="exact"/>
              <w:rPr>
                <w:rFonts w:ascii="Times New Roman" w:hAnsi="Times New Roman" w:eastAsia="仿宋" w:cs="Times New Roman"/>
                <w:b/>
                <w:bCs/>
                <w:color w:val="000000"/>
                <w:kern w:val="0"/>
                <w:sz w:val="24"/>
                <w:szCs w:val="24"/>
              </w:rPr>
            </w:pPr>
            <w:r>
              <w:rPr>
                <w:rFonts w:ascii="Times New Roman" w:hAnsi="仿宋" w:eastAsia="仿宋" w:cs="Times New Roman"/>
                <w:b/>
                <w:bCs/>
                <w:color w:val="000000"/>
                <w:kern w:val="0"/>
                <w:sz w:val="24"/>
                <w:szCs w:val="24"/>
              </w:rPr>
              <w:t>标准分值</w:t>
            </w:r>
          </w:p>
        </w:tc>
      </w:tr>
      <w:tr w14:paraId="312AC61B">
        <w:tblPrEx>
          <w:tblCellMar>
            <w:top w:w="0" w:type="dxa"/>
            <w:left w:w="108" w:type="dxa"/>
            <w:bottom w:w="0" w:type="dxa"/>
            <w:right w:w="108" w:type="dxa"/>
          </w:tblCellMar>
        </w:tblPrEx>
        <w:trPr>
          <w:trHeight w:val="672" w:hRule="atLeast"/>
        </w:trPr>
        <w:tc>
          <w:tcPr>
            <w:tcW w:w="764" w:type="dxa"/>
            <w:vMerge w:val="restart"/>
            <w:tcBorders>
              <w:top w:val="nil"/>
              <w:left w:val="single" w:color="auto" w:sz="4" w:space="0"/>
              <w:bottom w:val="single" w:color="auto" w:sz="4" w:space="0"/>
              <w:right w:val="single" w:color="auto" w:sz="4" w:space="0"/>
            </w:tcBorders>
            <w:shd w:val="clear" w:color="000000" w:fill="FFFFFF"/>
            <w:textDirection w:val="tbRlV"/>
            <w:vAlign w:val="center"/>
          </w:tcPr>
          <w:p w14:paraId="10BECFF7">
            <w:pPr>
              <w:widowControl/>
              <w:ind w:left="113" w:right="113"/>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效果指标（</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751" w:type="dxa"/>
            <w:vMerge w:val="restart"/>
            <w:tcBorders>
              <w:top w:val="nil"/>
              <w:left w:val="single" w:color="auto" w:sz="4" w:space="0"/>
              <w:bottom w:val="single" w:color="auto" w:sz="4" w:space="0"/>
              <w:right w:val="single" w:color="auto" w:sz="4" w:space="0"/>
            </w:tcBorders>
            <w:shd w:val="clear" w:color="000000" w:fill="FFFFFF"/>
            <w:vAlign w:val="center"/>
          </w:tcPr>
          <w:p w14:paraId="0E8D1C77">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项目效</w:t>
            </w:r>
            <w:r>
              <w:rPr>
                <w:rFonts w:hint="eastAsia" w:ascii="Times New Roman" w:hAnsi="仿宋" w:eastAsia="仿宋" w:cs="Times New Roman"/>
                <w:color w:val="000000"/>
                <w:kern w:val="0"/>
                <w:sz w:val="24"/>
                <w:szCs w:val="24"/>
              </w:rPr>
              <w:t>果</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40</w:t>
            </w:r>
            <w:r>
              <w:rPr>
                <w:rFonts w:ascii="Times New Roman" w:hAnsi="仿宋" w:eastAsia="仿宋" w:cs="Times New Roman"/>
                <w:color w:val="000000"/>
                <w:kern w:val="0"/>
                <w:sz w:val="24"/>
                <w:szCs w:val="24"/>
              </w:rPr>
              <w:t>分）</w:t>
            </w:r>
          </w:p>
        </w:tc>
        <w:tc>
          <w:tcPr>
            <w:tcW w:w="1296" w:type="dxa"/>
            <w:tcBorders>
              <w:top w:val="nil"/>
              <w:left w:val="nil"/>
              <w:bottom w:val="nil"/>
              <w:right w:val="single" w:color="auto" w:sz="4" w:space="0"/>
            </w:tcBorders>
            <w:shd w:val="clear" w:color="000000" w:fill="FFFFFF"/>
            <w:vAlign w:val="center"/>
          </w:tcPr>
          <w:p w14:paraId="21990FAD">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社会效益</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15</w:t>
            </w:r>
            <w:r>
              <w:rPr>
                <w:rFonts w:ascii="Times New Roman" w:hAnsi="仿宋" w:eastAsia="仿宋" w:cs="Times New Roman"/>
                <w:color w:val="000000"/>
                <w:kern w:val="0"/>
                <w:sz w:val="24"/>
                <w:szCs w:val="24"/>
              </w:rPr>
              <w:t>分）</w:t>
            </w:r>
          </w:p>
        </w:tc>
        <w:tc>
          <w:tcPr>
            <w:tcW w:w="1755" w:type="dxa"/>
            <w:tcBorders>
              <w:top w:val="nil"/>
              <w:left w:val="nil"/>
              <w:bottom w:val="single" w:color="auto" w:sz="4" w:space="0"/>
              <w:right w:val="single" w:color="auto" w:sz="4" w:space="0"/>
            </w:tcBorders>
            <w:shd w:val="clear" w:color="000000" w:fill="FFFFFF"/>
            <w:vAlign w:val="center"/>
          </w:tcPr>
          <w:p w14:paraId="4126E09A">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社会综合效益</w:t>
            </w:r>
          </w:p>
        </w:tc>
        <w:tc>
          <w:tcPr>
            <w:tcW w:w="3524" w:type="dxa"/>
            <w:tcBorders>
              <w:top w:val="nil"/>
              <w:left w:val="nil"/>
              <w:bottom w:val="single" w:color="auto" w:sz="4" w:space="0"/>
              <w:right w:val="single" w:color="auto" w:sz="4" w:space="0"/>
            </w:tcBorders>
            <w:shd w:val="clear" w:color="000000" w:fill="FFFFFF"/>
          </w:tcPr>
          <w:p w14:paraId="1A4AFD56">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突出服务质量提升推动</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红色物业</w:t>
            </w:r>
            <w:r>
              <w:rPr>
                <w:rFonts w:ascii="Times New Roman" w:hAnsi="Times New Roman" w:eastAsia="仿宋" w:cs="Times New Roman"/>
                <w:color w:val="000000"/>
                <w:kern w:val="0"/>
                <w:sz w:val="24"/>
                <w:szCs w:val="24"/>
              </w:rPr>
              <w:t>”</w:t>
            </w:r>
            <w:r>
              <w:rPr>
                <w:rFonts w:ascii="Times New Roman" w:hAnsi="仿宋" w:eastAsia="仿宋" w:cs="Times New Roman"/>
                <w:color w:val="000000"/>
                <w:kern w:val="0"/>
                <w:sz w:val="24"/>
                <w:szCs w:val="24"/>
              </w:rPr>
              <w:t>融入基层社会治理</w:t>
            </w:r>
          </w:p>
        </w:tc>
        <w:tc>
          <w:tcPr>
            <w:tcW w:w="733" w:type="dxa"/>
            <w:tcBorders>
              <w:top w:val="nil"/>
              <w:left w:val="nil"/>
              <w:bottom w:val="single" w:color="auto" w:sz="4" w:space="0"/>
              <w:right w:val="single" w:color="auto" w:sz="4" w:space="0"/>
            </w:tcBorders>
            <w:shd w:val="clear" w:color="000000" w:fill="FFFFFF"/>
            <w:vAlign w:val="center"/>
          </w:tcPr>
          <w:p w14:paraId="130DC013">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15</w:t>
            </w:r>
          </w:p>
        </w:tc>
      </w:tr>
      <w:tr w14:paraId="1AAF44E6">
        <w:tblPrEx>
          <w:tblCellMar>
            <w:top w:w="0" w:type="dxa"/>
            <w:left w:w="108" w:type="dxa"/>
            <w:bottom w:w="0" w:type="dxa"/>
            <w:right w:w="108" w:type="dxa"/>
          </w:tblCellMar>
        </w:tblPrEx>
        <w:trPr>
          <w:trHeight w:val="672" w:hRule="atLeast"/>
        </w:trPr>
        <w:tc>
          <w:tcPr>
            <w:tcW w:w="764" w:type="dxa"/>
            <w:vMerge w:val="continue"/>
            <w:tcBorders>
              <w:top w:val="nil"/>
              <w:left w:val="single" w:color="auto" w:sz="4" w:space="0"/>
              <w:bottom w:val="single" w:color="auto" w:sz="4" w:space="0"/>
              <w:right w:val="single" w:color="auto" w:sz="4" w:space="0"/>
            </w:tcBorders>
            <w:vAlign w:val="center"/>
          </w:tcPr>
          <w:p w14:paraId="12E599C2">
            <w:pPr>
              <w:widowControl/>
              <w:jc w:val="center"/>
              <w:rPr>
                <w:rFonts w:ascii="Times New Roman" w:hAnsi="Times New Roman" w:eastAsia="仿宋" w:cs="Times New Roman"/>
                <w:color w:val="000000"/>
                <w:kern w:val="0"/>
                <w:sz w:val="24"/>
                <w:szCs w:val="24"/>
              </w:rPr>
            </w:pPr>
          </w:p>
        </w:tc>
        <w:tc>
          <w:tcPr>
            <w:tcW w:w="751" w:type="dxa"/>
            <w:vMerge w:val="continue"/>
            <w:tcBorders>
              <w:top w:val="nil"/>
              <w:left w:val="single" w:color="auto" w:sz="4" w:space="0"/>
              <w:bottom w:val="single" w:color="auto" w:sz="4" w:space="0"/>
              <w:right w:val="single" w:color="auto" w:sz="4" w:space="0"/>
            </w:tcBorders>
            <w:vAlign w:val="center"/>
          </w:tcPr>
          <w:p w14:paraId="4CDBB819">
            <w:pPr>
              <w:widowControl/>
              <w:jc w:val="center"/>
              <w:rPr>
                <w:rFonts w:ascii="Times New Roman" w:hAnsi="Times New Roman" w:eastAsia="仿宋" w:cs="Times New Roman"/>
                <w:color w:val="000000"/>
                <w:kern w:val="0"/>
                <w:sz w:val="24"/>
                <w:szCs w:val="24"/>
              </w:rPr>
            </w:pPr>
          </w:p>
        </w:tc>
        <w:tc>
          <w:tcPr>
            <w:tcW w:w="1296" w:type="dxa"/>
            <w:tcBorders>
              <w:top w:val="single" w:color="auto" w:sz="4" w:space="0"/>
              <w:left w:val="nil"/>
              <w:bottom w:val="nil"/>
              <w:right w:val="single" w:color="auto" w:sz="4" w:space="0"/>
            </w:tcBorders>
            <w:shd w:val="clear" w:color="000000" w:fill="FFFFFF"/>
            <w:vAlign w:val="center"/>
          </w:tcPr>
          <w:p w14:paraId="32FFC48A">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环境效益</w:t>
            </w:r>
            <w:r>
              <w:rPr>
                <w:rFonts w:ascii="Times New Roman" w:hAnsi="Times New Roman" w:eastAsia="仿宋" w:cs="Times New Roman"/>
                <w:color w:val="000000"/>
                <w:kern w:val="0"/>
                <w:sz w:val="24"/>
                <w:szCs w:val="24"/>
              </w:rPr>
              <w:br w:type="textWrapping"/>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15</w:t>
            </w:r>
            <w:r>
              <w:rPr>
                <w:rFonts w:ascii="Times New Roman" w:hAnsi="仿宋" w:eastAsia="仿宋" w:cs="Times New Roman"/>
                <w:color w:val="000000"/>
                <w:kern w:val="0"/>
                <w:sz w:val="24"/>
                <w:szCs w:val="24"/>
              </w:rPr>
              <w:t>分）</w:t>
            </w:r>
          </w:p>
        </w:tc>
        <w:tc>
          <w:tcPr>
            <w:tcW w:w="1755" w:type="dxa"/>
            <w:tcBorders>
              <w:top w:val="nil"/>
              <w:left w:val="nil"/>
              <w:bottom w:val="single" w:color="auto" w:sz="4" w:space="0"/>
              <w:right w:val="single" w:color="auto" w:sz="4" w:space="0"/>
            </w:tcBorders>
            <w:shd w:val="clear" w:color="000000" w:fill="FFFFFF"/>
            <w:vAlign w:val="center"/>
          </w:tcPr>
          <w:p w14:paraId="51630214">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环境综合效益</w:t>
            </w:r>
          </w:p>
        </w:tc>
        <w:tc>
          <w:tcPr>
            <w:tcW w:w="3524" w:type="dxa"/>
            <w:tcBorders>
              <w:top w:val="nil"/>
              <w:left w:val="nil"/>
              <w:bottom w:val="single" w:color="auto" w:sz="4" w:space="0"/>
              <w:right w:val="single" w:color="auto" w:sz="4" w:space="0"/>
            </w:tcBorders>
            <w:shd w:val="clear" w:color="000000" w:fill="FFFFFF"/>
          </w:tcPr>
          <w:p w14:paraId="0E2C127B">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通过提供社区服务、改造基础设施为社区居民提供了良好的宜居环境</w:t>
            </w:r>
          </w:p>
        </w:tc>
        <w:tc>
          <w:tcPr>
            <w:tcW w:w="733" w:type="dxa"/>
            <w:tcBorders>
              <w:top w:val="nil"/>
              <w:left w:val="nil"/>
              <w:bottom w:val="single" w:color="auto" w:sz="4" w:space="0"/>
              <w:right w:val="single" w:color="auto" w:sz="4" w:space="0"/>
            </w:tcBorders>
            <w:shd w:val="clear" w:color="000000" w:fill="FFFFFF"/>
            <w:vAlign w:val="center"/>
          </w:tcPr>
          <w:p w14:paraId="7C7AB5FA">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15</w:t>
            </w:r>
          </w:p>
        </w:tc>
      </w:tr>
      <w:tr w14:paraId="7737EB24">
        <w:tblPrEx>
          <w:tblCellMar>
            <w:top w:w="0" w:type="dxa"/>
            <w:left w:w="108" w:type="dxa"/>
            <w:bottom w:w="0" w:type="dxa"/>
            <w:right w:w="108" w:type="dxa"/>
          </w:tblCellMar>
        </w:tblPrEx>
        <w:trPr>
          <w:trHeight w:val="612" w:hRule="atLeast"/>
        </w:trPr>
        <w:tc>
          <w:tcPr>
            <w:tcW w:w="764" w:type="dxa"/>
            <w:vMerge w:val="continue"/>
            <w:tcBorders>
              <w:top w:val="nil"/>
              <w:left w:val="single" w:color="auto" w:sz="4" w:space="0"/>
              <w:bottom w:val="single" w:color="auto" w:sz="4" w:space="0"/>
              <w:right w:val="single" w:color="auto" w:sz="4" w:space="0"/>
            </w:tcBorders>
            <w:vAlign w:val="center"/>
          </w:tcPr>
          <w:p w14:paraId="777DD904">
            <w:pPr>
              <w:widowControl/>
              <w:jc w:val="center"/>
              <w:rPr>
                <w:rFonts w:ascii="Times New Roman" w:hAnsi="Times New Roman" w:eastAsia="仿宋" w:cs="Times New Roman"/>
                <w:color w:val="000000"/>
                <w:kern w:val="0"/>
                <w:sz w:val="24"/>
                <w:szCs w:val="24"/>
              </w:rPr>
            </w:pPr>
          </w:p>
        </w:tc>
        <w:tc>
          <w:tcPr>
            <w:tcW w:w="751" w:type="dxa"/>
            <w:vMerge w:val="continue"/>
            <w:tcBorders>
              <w:top w:val="nil"/>
              <w:left w:val="single" w:color="auto" w:sz="4" w:space="0"/>
              <w:bottom w:val="single" w:color="auto" w:sz="4" w:space="0"/>
              <w:right w:val="single" w:color="auto" w:sz="4" w:space="0"/>
            </w:tcBorders>
            <w:vAlign w:val="center"/>
          </w:tcPr>
          <w:p w14:paraId="5CB6BC1D">
            <w:pPr>
              <w:widowControl/>
              <w:jc w:val="center"/>
              <w:rPr>
                <w:rFonts w:ascii="Times New Roman" w:hAnsi="Times New Roman" w:eastAsia="仿宋" w:cs="Times New Roman"/>
                <w:color w:val="000000"/>
                <w:kern w:val="0"/>
                <w:sz w:val="24"/>
                <w:szCs w:val="24"/>
              </w:rPr>
            </w:pPr>
          </w:p>
        </w:tc>
        <w:tc>
          <w:tcPr>
            <w:tcW w:w="1296" w:type="dxa"/>
            <w:tcBorders>
              <w:top w:val="single" w:color="auto" w:sz="4" w:space="0"/>
              <w:left w:val="single" w:color="auto" w:sz="4" w:space="0"/>
              <w:bottom w:val="single" w:color="auto" w:sz="4" w:space="0"/>
              <w:right w:val="single" w:color="auto" w:sz="4" w:space="0"/>
            </w:tcBorders>
            <w:shd w:val="clear" w:color="000000" w:fill="FFFFFF"/>
            <w:vAlign w:val="center"/>
          </w:tcPr>
          <w:p w14:paraId="1A4AF0EC">
            <w:pPr>
              <w:widowControl/>
              <w:jc w:val="center"/>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可持续发展影响</w:t>
            </w:r>
            <w:r>
              <w:rPr>
                <w:rFonts w:ascii="Times New Roman" w:hAnsi="Times New Roman" w:eastAsia="仿宋" w:cs="Times New Roman"/>
                <w:color w:val="000000"/>
                <w:kern w:val="0"/>
                <w:sz w:val="24"/>
                <w:szCs w:val="24"/>
              </w:rPr>
              <w:t xml:space="preserve"> </w:t>
            </w:r>
            <w:r>
              <w:rPr>
                <w:rFonts w:ascii="Times New Roman" w:hAnsi="仿宋" w:eastAsia="仿宋" w:cs="Times New Roman"/>
                <w:color w:val="000000"/>
                <w:kern w:val="0"/>
                <w:sz w:val="24"/>
                <w:szCs w:val="24"/>
              </w:rPr>
              <w:t>（</w:t>
            </w:r>
            <w:r>
              <w:rPr>
                <w:rFonts w:ascii="Times New Roman" w:hAnsi="Times New Roman" w:eastAsia="仿宋" w:cs="Times New Roman"/>
                <w:color w:val="000000"/>
                <w:kern w:val="0"/>
                <w:sz w:val="24"/>
                <w:szCs w:val="24"/>
              </w:rPr>
              <w:t>10</w:t>
            </w:r>
            <w:r>
              <w:rPr>
                <w:rFonts w:ascii="Times New Roman" w:hAnsi="仿宋" w:eastAsia="仿宋" w:cs="Times New Roman"/>
                <w:color w:val="000000"/>
                <w:kern w:val="0"/>
                <w:sz w:val="24"/>
                <w:szCs w:val="24"/>
              </w:rPr>
              <w:t>分）</w:t>
            </w:r>
          </w:p>
        </w:tc>
        <w:tc>
          <w:tcPr>
            <w:tcW w:w="1755" w:type="dxa"/>
            <w:tcBorders>
              <w:top w:val="nil"/>
              <w:left w:val="nil"/>
              <w:bottom w:val="single" w:color="auto" w:sz="4" w:space="0"/>
              <w:right w:val="single" w:color="auto" w:sz="4" w:space="0"/>
            </w:tcBorders>
            <w:shd w:val="clear" w:color="000000" w:fill="FFFFFF"/>
            <w:vAlign w:val="center"/>
          </w:tcPr>
          <w:p w14:paraId="0E51A6AE">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实施改善社区环境产生可持续影响</w:t>
            </w:r>
          </w:p>
        </w:tc>
        <w:tc>
          <w:tcPr>
            <w:tcW w:w="3524" w:type="dxa"/>
            <w:tcBorders>
              <w:top w:val="nil"/>
              <w:left w:val="nil"/>
              <w:bottom w:val="single" w:color="auto" w:sz="4" w:space="0"/>
              <w:right w:val="single" w:color="auto" w:sz="4" w:space="0"/>
            </w:tcBorders>
            <w:shd w:val="clear" w:color="000000" w:fill="FFFFFF"/>
            <w:vAlign w:val="center"/>
          </w:tcPr>
          <w:p w14:paraId="45653160">
            <w:pPr>
              <w:widowControl/>
              <w:jc w:val="left"/>
              <w:rPr>
                <w:rFonts w:ascii="Times New Roman" w:hAnsi="Times New Roman" w:eastAsia="仿宋" w:cs="Times New Roman"/>
                <w:color w:val="000000"/>
                <w:kern w:val="0"/>
                <w:sz w:val="24"/>
                <w:szCs w:val="24"/>
              </w:rPr>
            </w:pPr>
            <w:r>
              <w:rPr>
                <w:rFonts w:ascii="Times New Roman" w:hAnsi="仿宋" w:eastAsia="仿宋" w:cs="Times New Roman"/>
                <w:color w:val="000000"/>
                <w:kern w:val="0"/>
                <w:sz w:val="24"/>
                <w:szCs w:val="24"/>
              </w:rPr>
              <w:t>具有可持续性</w:t>
            </w:r>
          </w:p>
        </w:tc>
        <w:tc>
          <w:tcPr>
            <w:tcW w:w="733" w:type="dxa"/>
            <w:tcBorders>
              <w:top w:val="nil"/>
              <w:left w:val="nil"/>
              <w:bottom w:val="single" w:color="auto" w:sz="4" w:space="0"/>
              <w:right w:val="single" w:color="auto" w:sz="4" w:space="0"/>
            </w:tcBorders>
            <w:shd w:val="clear" w:color="000000" w:fill="FFFFFF"/>
            <w:vAlign w:val="center"/>
          </w:tcPr>
          <w:p w14:paraId="239CC342">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w:t>
            </w:r>
          </w:p>
        </w:tc>
      </w:tr>
      <w:bookmarkEnd w:id="40"/>
      <w:bookmarkEnd w:id="41"/>
      <w:bookmarkEnd w:id="42"/>
      <w:bookmarkEnd w:id="43"/>
      <w:bookmarkEnd w:id="44"/>
      <w:bookmarkEnd w:id="65"/>
    </w:tbl>
    <w:p w14:paraId="7E18F935">
      <w:pPr>
        <w:pStyle w:val="11"/>
        <w:tabs>
          <w:tab w:val="right" w:pos="8700"/>
        </w:tabs>
        <w:spacing w:line="500" w:lineRule="exact"/>
        <w:ind w:left="420" w:leftChars="200"/>
        <w:outlineLvl w:val="2"/>
        <w:rPr>
          <w:rFonts w:ascii="Times New Roman" w:hAnsi="Times New Roman" w:eastAsia="仿宋" w:cs="Times New Roman"/>
          <w:b/>
          <w:sz w:val="28"/>
          <w:szCs w:val="28"/>
        </w:rPr>
      </w:pPr>
      <w:bookmarkStart w:id="66" w:name="_Toc514839485"/>
      <w:bookmarkStart w:id="67" w:name="_Toc11787"/>
      <w:bookmarkStart w:id="68" w:name="_Toc361302036"/>
      <w:bookmarkStart w:id="69" w:name="_Toc406668048"/>
      <w:bookmarkStart w:id="70" w:name="_Toc406666374"/>
      <w:bookmarkStart w:id="71" w:name="_Toc387957823"/>
      <w:bookmarkStart w:id="72" w:name="_Toc361304699"/>
      <w:bookmarkStart w:id="73" w:name="_Toc14373"/>
      <w:r>
        <w:rPr>
          <w:rFonts w:ascii="Times New Roman" w:hAnsi="仿宋" w:eastAsia="仿宋" w:cs="Times New Roman"/>
          <w:bCs w:val="0"/>
          <w:sz w:val="28"/>
          <w:szCs w:val="28"/>
        </w:rPr>
        <w:t>４</w:t>
      </w:r>
      <w:r>
        <w:rPr>
          <w:rFonts w:hint="eastAsia" w:ascii="Times New Roman" w:hAnsi="仿宋" w:eastAsia="仿宋" w:cs="Times New Roman"/>
          <w:bCs w:val="0"/>
          <w:sz w:val="28"/>
          <w:szCs w:val="28"/>
        </w:rPr>
        <w:t>.</w:t>
      </w:r>
      <w:r>
        <w:rPr>
          <w:rFonts w:ascii="Times New Roman" w:hAnsi="仿宋" w:eastAsia="仿宋" w:cs="Times New Roman"/>
          <w:bCs w:val="0"/>
          <w:sz w:val="28"/>
          <w:szCs w:val="28"/>
        </w:rPr>
        <w:t>评价方法</w:t>
      </w:r>
      <w:bookmarkEnd w:id="66"/>
      <w:r>
        <w:rPr>
          <w:rFonts w:ascii="Times New Roman" w:hAnsi="Times New Roman" w:eastAsia="仿宋" w:cs="Times New Roman"/>
          <w:b/>
          <w:sz w:val="28"/>
          <w:szCs w:val="28"/>
        </w:rPr>
        <w:tab/>
      </w:r>
    </w:p>
    <w:p w14:paraId="0DEC7465">
      <w:pPr>
        <w:snapToGrid w:val="0"/>
        <w:spacing w:line="500" w:lineRule="exact"/>
        <w:ind w:firstLine="480"/>
        <w:rPr>
          <w:rFonts w:ascii="Times New Roman" w:hAnsi="Times New Roman" w:eastAsia="仿宋" w:cs="Times New Roman"/>
          <w:sz w:val="28"/>
          <w:szCs w:val="28"/>
        </w:rPr>
      </w:pPr>
      <w:r>
        <w:rPr>
          <w:rFonts w:ascii="Times New Roman" w:hAnsi="仿宋" w:eastAsia="仿宋" w:cs="Times New Roman"/>
          <w:sz w:val="28"/>
          <w:szCs w:val="28"/>
        </w:rPr>
        <w:t>本次绩效评价采用目标比较法、公众评价法、统计计算法、实地考察、定性与定量相结合的方法。</w:t>
      </w:r>
    </w:p>
    <w:p w14:paraId="2E1D944B">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）目标比较法。目标比较法是指通过对</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年度基层党建综合事务经费绩效的实际产出与预定目标的比较，分析完成目标或未完成目标的原因，从而评价绩效状况的方法。</w:t>
      </w:r>
    </w:p>
    <w:p w14:paraId="341C75E9">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）公众评价法。通过公众问卷、抽样调查等方式对财政项目资金支出效果进行评判，评价绩效目标实现程度。绩效评价小组分别对涉及</w:t>
      </w:r>
      <w:r>
        <w:rPr>
          <w:rFonts w:ascii="Times New Roman" w:hAnsi="Times New Roman" w:eastAsia="仿宋" w:cs="Times New Roman"/>
          <w:sz w:val="28"/>
          <w:szCs w:val="28"/>
        </w:rPr>
        <w:t>2018</w:t>
      </w:r>
      <w:r>
        <w:rPr>
          <w:rFonts w:ascii="Times New Roman" w:hAnsi="仿宋" w:eastAsia="仿宋" w:cs="Times New Roman"/>
          <w:sz w:val="28"/>
          <w:szCs w:val="28"/>
        </w:rPr>
        <w:t>年度基层党建综合事务经费的社区居民进行了问卷调查，收集了项目具体实施情况和效果的有关证据，为本次绩效分析提供了有力支撑。</w:t>
      </w:r>
    </w:p>
    <w:p w14:paraId="3FE2B1EC">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3</w:t>
      </w:r>
      <w:r>
        <w:rPr>
          <w:rFonts w:ascii="Times New Roman" w:hAnsi="仿宋" w:eastAsia="仿宋" w:cs="Times New Roman"/>
          <w:sz w:val="28"/>
          <w:szCs w:val="28"/>
        </w:rPr>
        <w:t>）统计计算法。采用各种专业（或专门）指标的计算方法，通过收集项目实施的相关数据，采用统计或核算等方式进行计算实际完成或达到的结果，评价绩效目标实现程度。项目小组根据相关文件依据，设计符合项目特点的评价指标体系，然后采集数据依据计算公式进行计算分析，并根据计算结果分析项目的绩效目标实现程度。</w:t>
      </w:r>
    </w:p>
    <w:p w14:paraId="0ED2C505">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4</w:t>
      </w:r>
      <w:r>
        <w:rPr>
          <w:rFonts w:ascii="Times New Roman" w:hAnsi="仿宋" w:eastAsia="仿宋" w:cs="Times New Roman"/>
          <w:sz w:val="28"/>
          <w:szCs w:val="28"/>
        </w:rPr>
        <w:t>）实地考察。绩效评价项目组前往项目具体实施地进行考察，了解项目的实施情况，评价项目绩效目标实现程度，核实项目实际实施情况，与收集的资料进行验证核对，并拍照留痕。</w:t>
      </w:r>
    </w:p>
    <w:p w14:paraId="370A2F86">
      <w:pPr>
        <w:spacing w:line="500" w:lineRule="exact"/>
        <w:ind w:firstLine="560" w:firstLineChars="200"/>
        <w:jc w:val="left"/>
        <w:rPr>
          <w:rFonts w:ascii="Times New Roman" w:hAnsi="Times New Roman" w:eastAsia="仿宋" w:cs="Times New Roman"/>
          <w:b/>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5</w:t>
      </w:r>
      <w:r>
        <w:rPr>
          <w:rFonts w:ascii="Times New Roman" w:hAnsi="仿宋" w:eastAsia="仿宋" w:cs="Times New Roman"/>
          <w:sz w:val="28"/>
          <w:szCs w:val="28"/>
        </w:rPr>
        <w:t>）定性和定量相结合的方法。分值确定方面，一级指标采用《市财政局关于开展</w:t>
      </w:r>
      <w:r>
        <w:rPr>
          <w:rFonts w:ascii="Times New Roman" w:hAnsi="Times New Roman" w:eastAsia="仿宋" w:cs="Times New Roman"/>
          <w:sz w:val="28"/>
          <w:szCs w:val="28"/>
        </w:rPr>
        <w:t>2019</w:t>
      </w:r>
      <w:r>
        <w:rPr>
          <w:rFonts w:ascii="Times New Roman" w:hAnsi="仿宋" w:eastAsia="仿宋" w:cs="Times New Roman"/>
          <w:sz w:val="28"/>
          <w:szCs w:val="28"/>
        </w:rPr>
        <w:t>年市直预算绩效评价及项目支出绩效执行监控工作的通知》（武财绩</w:t>
      </w:r>
      <w:r>
        <w:rPr>
          <w:rFonts w:ascii="Times New Roman" w:hAnsi="Times New Roman" w:eastAsia="仿宋" w:cs="Times New Roman"/>
          <w:sz w:val="28"/>
          <w:szCs w:val="28"/>
        </w:rPr>
        <w:t>[2019]291</w:t>
      </w:r>
      <w:r>
        <w:rPr>
          <w:rFonts w:ascii="Times New Roman" w:hAnsi="仿宋" w:eastAsia="仿宋" w:cs="Times New Roman"/>
          <w:sz w:val="28"/>
          <w:szCs w:val="28"/>
        </w:rPr>
        <w:t>号）及《</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年区直预算绩效评价及项目支出绩效执行监控工作方案》中确定的指标体系框架，结合专项工作经费支出项目绩效评价特点，一级指标项目预算执行情况指标、项目产出指标和项目效</w:t>
      </w:r>
      <w:r>
        <w:rPr>
          <w:rFonts w:hint="eastAsia" w:ascii="Times New Roman" w:hAnsi="仿宋" w:eastAsia="仿宋" w:cs="Times New Roman"/>
          <w:sz w:val="28"/>
          <w:szCs w:val="28"/>
        </w:rPr>
        <w:t>果</w:t>
      </w:r>
      <w:r>
        <w:rPr>
          <w:rFonts w:ascii="Times New Roman" w:hAnsi="仿宋" w:eastAsia="仿宋" w:cs="Times New Roman"/>
          <w:sz w:val="28"/>
          <w:szCs w:val="28"/>
        </w:rPr>
        <w:t>指标的分值分别</w:t>
      </w:r>
      <w:r>
        <w:rPr>
          <w:rFonts w:ascii="Times New Roman" w:hAnsi="Times New Roman" w:eastAsia="仿宋" w:cs="Times New Roman"/>
          <w:sz w:val="28"/>
          <w:szCs w:val="28"/>
        </w:rPr>
        <w:t>20</w:t>
      </w:r>
      <w:r>
        <w:rPr>
          <w:rFonts w:ascii="Times New Roman" w:hAnsi="仿宋" w:eastAsia="仿宋" w:cs="Times New Roman"/>
          <w:sz w:val="28"/>
          <w:szCs w:val="28"/>
        </w:rPr>
        <w:t>分、</w:t>
      </w:r>
      <w:r>
        <w:rPr>
          <w:rFonts w:ascii="Times New Roman" w:hAnsi="Times New Roman" w:eastAsia="仿宋" w:cs="Times New Roman"/>
          <w:sz w:val="28"/>
          <w:szCs w:val="28"/>
        </w:rPr>
        <w:t>40</w:t>
      </w:r>
      <w:r>
        <w:rPr>
          <w:rFonts w:ascii="Times New Roman" w:hAnsi="仿宋" w:eastAsia="仿宋" w:cs="Times New Roman"/>
          <w:sz w:val="28"/>
          <w:szCs w:val="28"/>
        </w:rPr>
        <w:t>分和</w:t>
      </w:r>
      <w:r>
        <w:rPr>
          <w:rFonts w:ascii="Times New Roman" w:hAnsi="Times New Roman" w:eastAsia="仿宋" w:cs="Times New Roman"/>
          <w:sz w:val="28"/>
          <w:szCs w:val="28"/>
        </w:rPr>
        <w:t>40</w:t>
      </w:r>
      <w:r>
        <w:rPr>
          <w:rFonts w:ascii="Times New Roman" w:hAnsi="仿宋" w:eastAsia="仿宋" w:cs="Times New Roman"/>
          <w:sz w:val="28"/>
          <w:szCs w:val="28"/>
        </w:rPr>
        <w:t>分；二、三级指标分值由绩效评价工作组依据各指标的重要性集体研究确定，具体评分根据评分标准确定具体分值。本次绩效评价等级依据武汉市硚口区财政局制订的《</w:t>
      </w:r>
      <w:r>
        <w:rPr>
          <w:rFonts w:ascii="Times New Roman" w:hAnsi="Times New Roman" w:eastAsia="仿宋" w:cs="Times New Roman"/>
          <w:sz w:val="28"/>
          <w:szCs w:val="28"/>
        </w:rPr>
        <w:t>2019</w:t>
      </w:r>
      <w:r>
        <w:rPr>
          <w:rFonts w:ascii="Times New Roman" w:hAnsi="仿宋" w:eastAsia="仿宋" w:cs="Times New Roman"/>
          <w:sz w:val="28"/>
          <w:szCs w:val="28"/>
        </w:rPr>
        <w:t>年区直预算绩效评价及项目支出绩效执行监控工作方案》将评分结果类型分为</w:t>
      </w:r>
      <w:r>
        <w:rPr>
          <w:rFonts w:ascii="Times New Roman" w:hAnsi="Times New Roman" w:eastAsia="仿宋" w:cs="Times New Roman"/>
          <w:sz w:val="28"/>
          <w:szCs w:val="28"/>
        </w:rPr>
        <w:t>A</w:t>
      </w:r>
      <w:r>
        <w:rPr>
          <w:rFonts w:ascii="Times New Roman" w:hAnsi="仿宋" w:eastAsia="仿宋" w:cs="Times New Roman"/>
          <w:sz w:val="28"/>
          <w:szCs w:val="28"/>
        </w:rPr>
        <w:t>（</w:t>
      </w:r>
      <w:r>
        <w:rPr>
          <w:rFonts w:ascii="Times New Roman" w:hAnsi="Times New Roman" w:eastAsia="仿宋" w:cs="Times New Roman"/>
          <w:sz w:val="28"/>
          <w:szCs w:val="28"/>
        </w:rPr>
        <w:t>≥90</w:t>
      </w:r>
      <w:r>
        <w:rPr>
          <w:rFonts w:ascii="Times New Roman" w:hAnsi="仿宋" w:eastAsia="仿宋" w:cs="Times New Roman"/>
          <w:sz w:val="28"/>
          <w:szCs w:val="28"/>
        </w:rPr>
        <w:t>分～</w:t>
      </w:r>
      <w:r>
        <w:rPr>
          <w:rFonts w:ascii="Times New Roman" w:hAnsi="Times New Roman" w:eastAsia="仿宋" w:cs="Times New Roman"/>
          <w:sz w:val="28"/>
          <w:szCs w:val="28"/>
        </w:rPr>
        <w:t>100</w:t>
      </w:r>
      <w:r>
        <w:rPr>
          <w:rFonts w:ascii="Times New Roman" w:hAnsi="仿宋" w:eastAsia="仿宋" w:cs="Times New Roman"/>
          <w:sz w:val="28"/>
          <w:szCs w:val="28"/>
        </w:rPr>
        <w:t>分）、</w:t>
      </w:r>
      <w:r>
        <w:rPr>
          <w:rFonts w:ascii="Times New Roman" w:hAnsi="Times New Roman" w:eastAsia="仿宋" w:cs="Times New Roman"/>
          <w:sz w:val="28"/>
          <w:szCs w:val="28"/>
        </w:rPr>
        <w:t>B</w:t>
      </w:r>
      <w:r>
        <w:rPr>
          <w:rFonts w:ascii="Times New Roman" w:hAnsi="仿宋" w:eastAsia="仿宋" w:cs="Times New Roman"/>
          <w:sz w:val="28"/>
          <w:szCs w:val="28"/>
        </w:rPr>
        <w:t>（</w:t>
      </w:r>
      <w:r>
        <w:rPr>
          <w:rFonts w:ascii="Times New Roman" w:hAnsi="Times New Roman" w:eastAsia="仿宋" w:cs="Times New Roman"/>
          <w:sz w:val="28"/>
          <w:szCs w:val="28"/>
        </w:rPr>
        <w:t>≥80</w:t>
      </w:r>
      <w:r>
        <w:rPr>
          <w:rFonts w:ascii="Times New Roman" w:hAnsi="仿宋" w:eastAsia="仿宋" w:cs="Times New Roman"/>
          <w:sz w:val="28"/>
          <w:szCs w:val="28"/>
        </w:rPr>
        <w:t>分～</w:t>
      </w:r>
      <w:r>
        <w:rPr>
          <w:rFonts w:ascii="Times New Roman" w:hAnsi="Times New Roman" w:eastAsia="仿宋" w:cs="Times New Roman"/>
          <w:sz w:val="28"/>
          <w:szCs w:val="28"/>
        </w:rPr>
        <w:t>90</w:t>
      </w:r>
      <w:r>
        <w:rPr>
          <w:rFonts w:ascii="Times New Roman" w:hAnsi="仿宋" w:eastAsia="仿宋" w:cs="Times New Roman"/>
          <w:sz w:val="28"/>
          <w:szCs w:val="28"/>
        </w:rPr>
        <w:t>分）、</w:t>
      </w:r>
      <w:r>
        <w:rPr>
          <w:rFonts w:ascii="Times New Roman" w:hAnsi="Times New Roman" w:eastAsia="仿宋" w:cs="Times New Roman"/>
          <w:sz w:val="28"/>
          <w:szCs w:val="28"/>
        </w:rPr>
        <w:t>C</w:t>
      </w:r>
      <w:r>
        <w:rPr>
          <w:rFonts w:ascii="Times New Roman" w:hAnsi="仿宋" w:eastAsia="仿宋" w:cs="Times New Roman"/>
          <w:sz w:val="28"/>
          <w:szCs w:val="28"/>
        </w:rPr>
        <w:t>（</w:t>
      </w:r>
      <w:r>
        <w:rPr>
          <w:rFonts w:ascii="Times New Roman" w:hAnsi="Times New Roman" w:eastAsia="仿宋" w:cs="Times New Roman"/>
          <w:sz w:val="28"/>
          <w:szCs w:val="28"/>
        </w:rPr>
        <w:t>≥60</w:t>
      </w:r>
      <w:r>
        <w:rPr>
          <w:rFonts w:ascii="Times New Roman" w:hAnsi="仿宋" w:eastAsia="仿宋" w:cs="Times New Roman"/>
          <w:sz w:val="28"/>
          <w:szCs w:val="28"/>
        </w:rPr>
        <w:t>分～</w:t>
      </w:r>
      <w:r>
        <w:rPr>
          <w:rFonts w:ascii="Times New Roman" w:hAnsi="Times New Roman" w:eastAsia="仿宋" w:cs="Times New Roman"/>
          <w:sz w:val="28"/>
          <w:szCs w:val="28"/>
        </w:rPr>
        <w:t>80</w:t>
      </w:r>
      <w:r>
        <w:rPr>
          <w:rFonts w:ascii="Times New Roman" w:hAnsi="仿宋" w:eastAsia="仿宋" w:cs="Times New Roman"/>
          <w:sz w:val="28"/>
          <w:szCs w:val="28"/>
        </w:rPr>
        <w:t>分）、</w:t>
      </w:r>
      <w:r>
        <w:rPr>
          <w:rFonts w:ascii="Times New Roman" w:hAnsi="Times New Roman" w:eastAsia="仿宋" w:cs="Times New Roman"/>
          <w:sz w:val="28"/>
          <w:szCs w:val="28"/>
        </w:rPr>
        <w:t>D</w:t>
      </w:r>
      <w:r>
        <w:rPr>
          <w:rFonts w:ascii="Times New Roman" w:hAnsi="仿宋" w:eastAsia="仿宋" w:cs="Times New Roman"/>
          <w:sz w:val="28"/>
          <w:szCs w:val="28"/>
        </w:rPr>
        <w:t>（</w:t>
      </w:r>
      <w:r>
        <w:rPr>
          <w:rFonts w:ascii="Times New Roman" w:hAnsi="Times New Roman" w:eastAsia="仿宋" w:cs="Times New Roman"/>
          <w:sz w:val="28"/>
          <w:szCs w:val="28"/>
        </w:rPr>
        <w:t>60</w:t>
      </w:r>
      <w:r>
        <w:rPr>
          <w:rFonts w:ascii="Times New Roman" w:hAnsi="仿宋" w:eastAsia="仿宋" w:cs="Times New Roman"/>
          <w:sz w:val="28"/>
          <w:szCs w:val="28"/>
        </w:rPr>
        <w:t>分以下）四种，相对应评价等级为优、良、中、差。</w:t>
      </w:r>
    </w:p>
    <w:p w14:paraId="61A9C5F4">
      <w:pPr>
        <w:pStyle w:val="3"/>
        <w:spacing w:line="500" w:lineRule="exact"/>
        <w:ind w:left="420" w:leftChars="200"/>
        <w:rPr>
          <w:rFonts w:ascii="Times New Roman" w:hAnsi="Times New Roman" w:eastAsia="仿宋" w:cs="Times New Roman"/>
          <w:sz w:val="28"/>
          <w:szCs w:val="28"/>
        </w:rPr>
      </w:pPr>
      <w:bookmarkStart w:id="74" w:name="_Toc514839486"/>
      <w:r>
        <w:rPr>
          <w:rFonts w:ascii="Times New Roman" w:hAnsi="仿宋" w:eastAsia="仿宋" w:cs="Times New Roman"/>
          <w:sz w:val="28"/>
          <w:szCs w:val="28"/>
        </w:rPr>
        <w:t>（四）证据收集方式</w:t>
      </w:r>
      <w:bookmarkEnd w:id="74"/>
    </w:p>
    <w:p w14:paraId="1C8B6130">
      <w:pPr>
        <w:snapToGrid w:val="0"/>
        <w:spacing w:line="500" w:lineRule="exact"/>
        <w:ind w:firstLine="480"/>
        <w:rPr>
          <w:rFonts w:ascii="Times New Roman" w:hAnsi="Times New Roman" w:eastAsia="仿宋" w:cs="Times New Roman"/>
          <w:sz w:val="28"/>
          <w:szCs w:val="28"/>
        </w:rPr>
      </w:pPr>
      <w:bookmarkStart w:id="75" w:name="_Toc406666370"/>
      <w:bookmarkStart w:id="76" w:name="_Toc18443"/>
      <w:bookmarkStart w:id="77" w:name="_Toc406668044"/>
      <w:bookmarkStart w:id="78" w:name="_Toc361304693"/>
      <w:bookmarkStart w:id="79" w:name="_Toc387957819"/>
      <w:r>
        <w:rPr>
          <w:rFonts w:ascii="Times New Roman" w:hAnsi="仿宋" w:eastAsia="仿宋" w:cs="Times New Roman"/>
          <w:sz w:val="28"/>
          <w:szCs w:val="28"/>
        </w:rPr>
        <w:t>绩效评价工作组首先从六角亭街办事处及其相关处室调取项目文件资料，从会计核算系统、记录搜集了部分资料，将所有文件资料汇集整理后，进行了案卷研究。然后将所有从案卷研究中获得的证据与从实地调研、座谈会、问卷调查、会计核算系统和六角亭街办事处中获得的证据汇集起来，对同一指标在不同文件资料中的证据进行对比、印证、核实和补充，经过验证和确定后得到了准确、可靠和有效的证据。最后，绩效评价工作组对证据进行了判断分析，形成评价依据。</w:t>
      </w:r>
    </w:p>
    <w:bookmarkEnd w:id="75"/>
    <w:bookmarkEnd w:id="76"/>
    <w:bookmarkEnd w:id="77"/>
    <w:bookmarkEnd w:id="78"/>
    <w:bookmarkEnd w:id="79"/>
    <w:p w14:paraId="05083D82">
      <w:pPr>
        <w:pStyle w:val="2"/>
        <w:spacing w:line="500" w:lineRule="exact"/>
        <w:ind w:left="420" w:leftChars="200"/>
        <w:rPr>
          <w:rFonts w:ascii="Times New Roman" w:hAnsi="Times New Roman" w:eastAsia="仿宋" w:cs="Times New Roman"/>
          <w:szCs w:val="28"/>
        </w:rPr>
      </w:pPr>
    </w:p>
    <w:p w14:paraId="6681C879">
      <w:pPr>
        <w:pStyle w:val="2"/>
        <w:spacing w:line="500" w:lineRule="exact"/>
        <w:ind w:firstLine="562" w:firstLineChars="200"/>
        <w:rPr>
          <w:rFonts w:ascii="Times New Roman" w:hAnsi="Times New Roman" w:eastAsia="仿宋" w:cs="Times New Roman"/>
          <w:szCs w:val="28"/>
        </w:rPr>
      </w:pPr>
      <w:bookmarkStart w:id="80" w:name="_Toc406666373"/>
      <w:bookmarkStart w:id="81" w:name="_Toc361302034"/>
      <w:bookmarkStart w:id="82" w:name="_Toc361304697"/>
      <w:bookmarkStart w:id="83" w:name="_Toc387957822"/>
      <w:bookmarkStart w:id="84" w:name="_Toc394181010"/>
      <w:bookmarkStart w:id="85" w:name="_Toc2992"/>
      <w:bookmarkStart w:id="86" w:name="_Toc514839488"/>
      <w:bookmarkStart w:id="87" w:name="_Toc406668047"/>
      <w:r>
        <w:rPr>
          <w:rFonts w:ascii="Times New Roman" w:hAnsi="仿宋" w:eastAsia="仿宋" w:cs="Times New Roman"/>
          <w:szCs w:val="28"/>
        </w:rPr>
        <w:t>三、绩效评价分析（评价得分</w:t>
      </w:r>
      <w:r>
        <w:rPr>
          <w:rFonts w:ascii="Times New Roman" w:hAnsi="Times New Roman" w:eastAsia="仿宋" w:cs="Times New Roman"/>
          <w:szCs w:val="28"/>
        </w:rPr>
        <w:t>91</w:t>
      </w:r>
      <w:r>
        <w:rPr>
          <w:rFonts w:ascii="Times New Roman" w:hAnsi="仿宋" w:eastAsia="仿宋" w:cs="Times New Roman"/>
          <w:szCs w:val="28"/>
        </w:rPr>
        <w:t>分）</w:t>
      </w:r>
    </w:p>
    <w:p w14:paraId="0FEF4C67">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准则分值</w:t>
      </w:r>
      <w:r>
        <w:rPr>
          <w:rFonts w:ascii="Times New Roman" w:hAnsi="Times New Roman" w:eastAsia="仿宋" w:cs="Times New Roman"/>
          <w:sz w:val="28"/>
          <w:szCs w:val="28"/>
        </w:rPr>
        <w:t>100</w:t>
      </w:r>
      <w:r>
        <w:rPr>
          <w:rFonts w:ascii="Times New Roman" w:hAnsi="仿宋" w:eastAsia="仿宋" w:cs="Times New Roman"/>
          <w:sz w:val="28"/>
          <w:szCs w:val="28"/>
        </w:rPr>
        <w:t>分，评价得分</w:t>
      </w:r>
      <w:r>
        <w:rPr>
          <w:rFonts w:ascii="Times New Roman" w:hAnsi="Times New Roman" w:eastAsia="仿宋" w:cs="Times New Roman"/>
          <w:sz w:val="28"/>
          <w:szCs w:val="28"/>
        </w:rPr>
        <w:t>91</w:t>
      </w:r>
      <w:r>
        <w:rPr>
          <w:rFonts w:ascii="Times New Roman" w:hAnsi="仿宋" w:eastAsia="仿宋" w:cs="Times New Roman"/>
          <w:sz w:val="28"/>
          <w:szCs w:val="28"/>
        </w:rPr>
        <w:t>分，评价等级为优。</w:t>
      </w:r>
    </w:p>
    <w:p w14:paraId="3BE23D17">
      <w:pPr>
        <w:pStyle w:val="3"/>
        <w:spacing w:line="500" w:lineRule="exact"/>
        <w:ind w:firstLine="562" w:firstLineChars="200"/>
        <w:rPr>
          <w:rFonts w:ascii="Times New Roman" w:hAnsi="Times New Roman" w:eastAsia="仿宋" w:cs="Times New Roman"/>
          <w:sz w:val="28"/>
          <w:szCs w:val="28"/>
        </w:rPr>
      </w:pPr>
      <w:r>
        <w:rPr>
          <w:rFonts w:ascii="Times New Roman" w:hAnsi="仿宋" w:eastAsia="仿宋" w:cs="Times New Roman"/>
          <w:sz w:val="28"/>
          <w:szCs w:val="28"/>
        </w:rPr>
        <w:t>（一）预算执行情况（评价得分</w:t>
      </w:r>
      <w:r>
        <w:rPr>
          <w:rFonts w:ascii="Times New Roman" w:hAnsi="Times New Roman" w:eastAsia="仿宋" w:cs="Times New Roman"/>
          <w:sz w:val="28"/>
          <w:szCs w:val="28"/>
        </w:rPr>
        <w:t>16</w:t>
      </w:r>
      <w:r>
        <w:rPr>
          <w:rFonts w:ascii="Times New Roman" w:hAnsi="仿宋" w:eastAsia="仿宋" w:cs="Times New Roman"/>
          <w:sz w:val="28"/>
          <w:szCs w:val="28"/>
        </w:rPr>
        <w:t>分）</w:t>
      </w:r>
    </w:p>
    <w:p w14:paraId="5EE537D6">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根据评价原则，项目预算执行情况评价得分</w:t>
      </w:r>
      <w:r>
        <w:rPr>
          <w:rFonts w:ascii="Times New Roman" w:hAnsi="Times New Roman" w:eastAsia="仿宋" w:cs="Times New Roman"/>
          <w:sz w:val="28"/>
          <w:szCs w:val="28"/>
        </w:rPr>
        <w:t>16</w:t>
      </w:r>
      <w:r>
        <w:rPr>
          <w:rFonts w:ascii="Times New Roman" w:hAnsi="仿宋" w:eastAsia="仿宋" w:cs="Times New Roman"/>
          <w:sz w:val="28"/>
          <w:szCs w:val="28"/>
        </w:rPr>
        <w:t>分，评价等级为良。</w:t>
      </w:r>
    </w:p>
    <w:p w14:paraId="5AA5447D">
      <w:pPr>
        <w:pStyle w:val="11"/>
        <w:tabs>
          <w:tab w:val="right" w:pos="8700"/>
        </w:tabs>
        <w:spacing w:line="500" w:lineRule="exact"/>
        <w:ind w:left="420" w:leftChars="200"/>
        <w:outlineLvl w:val="2"/>
        <w:rPr>
          <w:rFonts w:ascii="Times New Roman" w:hAnsi="Times New Roman" w:eastAsia="仿宋" w:cs="Times New Roman"/>
          <w:bCs w:val="0"/>
          <w:sz w:val="28"/>
          <w:szCs w:val="28"/>
        </w:rPr>
      </w:pPr>
      <w:r>
        <w:rPr>
          <w:rFonts w:ascii="Times New Roman" w:hAnsi="Times New Roman" w:eastAsia="仿宋" w:cs="Times New Roman"/>
          <w:bCs w:val="0"/>
          <w:sz w:val="28"/>
          <w:szCs w:val="28"/>
        </w:rPr>
        <w:t>1</w:t>
      </w:r>
      <w:r>
        <w:rPr>
          <w:rFonts w:ascii="Times New Roman" w:hAnsi="仿宋" w:eastAsia="仿宋" w:cs="Times New Roman"/>
          <w:bCs w:val="0"/>
          <w:sz w:val="28"/>
          <w:szCs w:val="28"/>
        </w:rPr>
        <w:t>．项目立项（评价得分</w:t>
      </w:r>
      <w:r>
        <w:rPr>
          <w:rFonts w:ascii="Times New Roman" w:hAnsi="Times New Roman" w:eastAsia="仿宋" w:cs="Times New Roman"/>
          <w:bCs w:val="0"/>
          <w:sz w:val="28"/>
          <w:szCs w:val="28"/>
        </w:rPr>
        <w:t>9</w:t>
      </w:r>
      <w:r>
        <w:rPr>
          <w:rFonts w:ascii="Times New Roman" w:hAnsi="仿宋" w:eastAsia="仿宋" w:cs="Times New Roman"/>
          <w:bCs w:val="0"/>
          <w:sz w:val="28"/>
          <w:szCs w:val="28"/>
        </w:rPr>
        <w:t>分）</w:t>
      </w:r>
    </w:p>
    <w:p w14:paraId="5C8A40FD">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1</w:t>
      </w:r>
      <w:r>
        <w:rPr>
          <w:rFonts w:ascii="Times New Roman" w:hAnsi="仿宋" w:eastAsia="仿宋" w:cs="Times New Roman"/>
          <w:sz w:val="28"/>
          <w:szCs w:val="28"/>
        </w:rPr>
        <w:t>）项目立项规范性（评价得分</w:t>
      </w:r>
      <w:r>
        <w:rPr>
          <w:rFonts w:ascii="Times New Roman" w:hAnsi="Times New Roman" w:eastAsia="仿宋" w:cs="Times New Roman"/>
          <w:sz w:val="28"/>
          <w:szCs w:val="28"/>
        </w:rPr>
        <w:t>3</w:t>
      </w:r>
      <w:r>
        <w:rPr>
          <w:rFonts w:ascii="Times New Roman" w:hAnsi="仿宋" w:eastAsia="仿宋" w:cs="Times New Roman"/>
          <w:sz w:val="28"/>
          <w:szCs w:val="28"/>
        </w:rPr>
        <w:t>分）</w:t>
      </w:r>
    </w:p>
    <w:p w14:paraId="6F1CBBE8">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项目符合国家相关法律法规、社会发展和地方政府决策；已通过六角亭街办事处相关决策。</w:t>
      </w:r>
    </w:p>
    <w:p w14:paraId="63242E9D">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w:t>
      </w:r>
      <w:r>
        <w:rPr>
          <w:rFonts w:ascii="Times New Roman" w:hAnsi="Times New Roman" w:eastAsia="仿宋" w:cs="Times New Roman"/>
          <w:sz w:val="28"/>
          <w:szCs w:val="28"/>
        </w:rPr>
        <w:t>2</w:t>
      </w:r>
      <w:r>
        <w:rPr>
          <w:rFonts w:ascii="Times New Roman" w:hAnsi="仿宋" w:eastAsia="仿宋" w:cs="Times New Roman"/>
          <w:sz w:val="28"/>
          <w:szCs w:val="28"/>
        </w:rPr>
        <w:t>）绩效指标明确性（评价得分</w:t>
      </w:r>
      <w:r>
        <w:rPr>
          <w:rFonts w:ascii="Times New Roman" w:hAnsi="Times New Roman" w:eastAsia="仿宋" w:cs="Times New Roman"/>
          <w:sz w:val="28"/>
          <w:szCs w:val="28"/>
        </w:rPr>
        <w:t>6</w:t>
      </w:r>
      <w:r>
        <w:rPr>
          <w:rFonts w:ascii="Times New Roman" w:hAnsi="仿宋" w:eastAsia="仿宋" w:cs="Times New Roman"/>
          <w:sz w:val="28"/>
          <w:szCs w:val="28"/>
        </w:rPr>
        <w:t>分）</w:t>
      </w:r>
    </w:p>
    <w:p w14:paraId="063F371A">
      <w:pPr>
        <w:snapToGrid w:val="0"/>
        <w:spacing w:line="500" w:lineRule="exact"/>
        <w:ind w:firstLine="560"/>
        <w:rPr>
          <w:rFonts w:ascii="Times New Roman" w:hAnsi="Times New Roman" w:eastAsia="仿宋" w:cs="Times New Roman"/>
          <w:sz w:val="28"/>
          <w:szCs w:val="28"/>
        </w:rPr>
      </w:pPr>
      <w:r>
        <w:rPr>
          <w:rFonts w:ascii="Times New Roman" w:hAnsi="仿宋" w:eastAsia="仿宋" w:cs="Times New Roman"/>
          <w:sz w:val="28"/>
          <w:szCs w:val="28"/>
        </w:rPr>
        <w:t>项目绩效目标不够细化、具体，扣</w:t>
      </w:r>
      <w:r>
        <w:rPr>
          <w:rFonts w:ascii="Times New Roman" w:hAnsi="Times New Roman" w:eastAsia="仿宋" w:cs="Times New Roman"/>
          <w:sz w:val="28"/>
          <w:szCs w:val="28"/>
        </w:rPr>
        <w:t>1</w:t>
      </w:r>
      <w:r>
        <w:rPr>
          <w:rFonts w:ascii="Times New Roman" w:hAnsi="仿宋" w:eastAsia="仿宋" w:cs="Times New Roman"/>
          <w:sz w:val="28"/>
          <w:szCs w:val="28"/>
        </w:rPr>
        <w:t>分；</w:t>
      </w:r>
    </w:p>
    <w:p w14:paraId="3C947D60">
      <w:pPr>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项目绩效目标不够清晰、量化指标不够科学，扣</w:t>
      </w:r>
      <w:r>
        <w:rPr>
          <w:rFonts w:ascii="Times New Roman" w:hAnsi="Times New Roman" w:eastAsia="仿宋" w:cs="Times New Roman"/>
          <w:sz w:val="28"/>
          <w:szCs w:val="28"/>
        </w:rPr>
        <w:t>1</w:t>
      </w:r>
      <w:r>
        <w:rPr>
          <w:rFonts w:ascii="Times New Roman" w:hAnsi="仿宋" w:eastAsia="仿宋" w:cs="Times New Roman"/>
          <w:sz w:val="28"/>
          <w:szCs w:val="28"/>
        </w:rPr>
        <w:t>分；</w:t>
      </w:r>
    </w:p>
    <w:p w14:paraId="6705EAAF">
      <w:pPr>
        <w:pStyle w:val="11"/>
        <w:tabs>
          <w:tab w:val="right" w:pos="8700"/>
        </w:tabs>
        <w:spacing w:line="500" w:lineRule="exact"/>
        <w:ind w:left="420" w:leftChars="200"/>
        <w:outlineLvl w:val="2"/>
        <w:rPr>
          <w:rFonts w:ascii="Times New Roman" w:hAnsi="Times New Roman" w:eastAsia="仿宋" w:cs="Times New Roman"/>
          <w:bCs w:val="0"/>
          <w:sz w:val="28"/>
          <w:szCs w:val="28"/>
        </w:rPr>
      </w:pPr>
      <w:r>
        <w:rPr>
          <w:rFonts w:ascii="Times New Roman" w:hAnsi="Times New Roman" w:eastAsia="仿宋" w:cs="Times New Roman"/>
          <w:bCs w:val="0"/>
          <w:sz w:val="28"/>
          <w:szCs w:val="28"/>
        </w:rPr>
        <w:t>2</w:t>
      </w:r>
      <w:r>
        <w:rPr>
          <w:rFonts w:ascii="Times New Roman" w:hAnsi="仿宋" w:eastAsia="仿宋" w:cs="Times New Roman"/>
          <w:bCs w:val="0"/>
          <w:sz w:val="28"/>
          <w:szCs w:val="28"/>
        </w:rPr>
        <w:t>．资金落实（评价得分</w:t>
      </w:r>
      <w:r>
        <w:rPr>
          <w:rFonts w:ascii="Times New Roman" w:hAnsi="Times New Roman" w:eastAsia="仿宋" w:cs="Times New Roman"/>
          <w:bCs w:val="0"/>
          <w:sz w:val="28"/>
          <w:szCs w:val="28"/>
        </w:rPr>
        <w:t>4</w:t>
      </w:r>
      <w:r>
        <w:rPr>
          <w:rFonts w:ascii="Times New Roman" w:hAnsi="仿宋" w:eastAsia="仿宋" w:cs="Times New Roman"/>
          <w:bCs w:val="0"/>
          <w:sz w:val="28"/>
          <w:szCs w:val="28"/>
        </w:rPr>
        <w:t>分）</w:t>
      </w:r>
    </w:p>
    <w:p w14:paraId="5667C895">
      <w:pPr>
        <w:snapToGrid w:val="0"/>
        <w:spacing w:line="500" w:lineRule="exact"/>
        <w:ind w:firstLine="56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）资金到位率。预算资金</w:t>
      </w:r>
      <w:r>
        <w:rPr>
          <w:rFonts w:ascii="Times New Roman" w:hAnsi="Times New Roman" w:eastAsia="仿宋" w:cs="Times New Roman"/>
          <w:color w:val="000000"/>
          <w:sz w:val="28"/>
          <w:szCs w:val="28"/>
        </w:rPr>
        <w:t>45.69</w:t>
      </w:r>
      <w:r>
        <w:rPr>
          <w:rFonts w:ascii="Times New Roman" w:hAnsi="仿宋" w:eastAsia="仿宋" w:cs="Times New Roman"/>
          <w:color w:val="000000"/>
          <w:sz w:val="28"/>
          <w:szCs w:val="28"/>
        </w:rPr>
        <w:t>万元，到位率</w:t>
      </w:r>
      <w:r>
        <w:rPr>
          <w:rFonts w:ascii="Times New Roman" w:hAnsi="Times New Roman" w:eastAsia="仿宋" w:cs="Times New Roman"/>
          <w:color w:val="000000"/>
          <w:sz w:val="28"/>
          <w:szCs w:val="28"/>
        </w:rPr>
        <w:t>100.00%</w:t>
      </w:r>
      <w:r>
        <w:rPr>
          <w:rFonts w:ascii="Times New Roman" w:hAnsi="仿宋" w:eastAsia="仿宋" w:cs="Times New Roman"/>
          <w:color w:val="000000"/>
          <w:sz w:val="28"/>
          <w:szCs w:val="28"/>
        </w:rPr>
        <w:t>，满足了项目正常开展的资金需求。</w:t>
      </w:r>
    </w:p>
    <w:p w14:paraId="2690E846">
      <w:pPr>
        <w:snapToGrid w:val="0"/>
        <w:spacing w:line="500" w:lineRule="exact"/>
        <w:ind w:firstLine="56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）资金使用率。截止</w:t>
      </w:r>
      <w:r>
        <w:rPr>
          <w:rFonts w:ascii="Times New Roman" w:hAnsi="Times New Roman" w:eastAsia="仿宋" w:cs="Times New Roman"/>
          <w:color w:val="000000"/>
          <w:sz w:val="28"/>
          <w:szCs w:val="28"/>
        </w:rPr>
        <w:t>2018</w:t>
      </w:r>
      <w:r>
        <w:rPr>
          <w:rFonts w:ascii="Times New Roman" w:hAnsi="仿宋" w:eastAsia="仿宋" w:cs="Times New Roman"/>
          <w:color w:val="000000"/>
          <w:sz w:val="28"/>
          <w:szCs w:val="28"/>
        </w:rPr>
        <w:t>年</w:t>
      </w:r>
      <w:r>
        <w:rPr>
          <w:rFonts w:ascii="Times New Roman" w:hAnsi="Times New Roman" w:eastAsia="仿宋" w:cs="Times New Roman"/>
          <w:color w:val="000000"/>
          <w:sz w:val="28"/>
          <w:szCs w:val="28"/>
        </w:rPr>
        <w:t>12</w:t>
      </w:r>
      <w:r>
        <w:rPr>
          <w:rFonts w:ascii="Times New Roman" w:hAnsi="仿宋" w:eastAsia="仿宋" w:cs="Times New Roman"/>
          <w:color w:val="000000"/>
          <w:sz w:val="28"/>
          <w:szCs w:val="28"/>
        </w:rPr>
        <w:t>月</w:t>
      </w:r>
      <w:r>
        <w:rPr>
          <w:rFonts w:ascii="Times New Roman" w:hAnsi="Times New Roman" w:eastAsia="仿宋" w:cs="Times New Roman"/>
          <w:color w:val="000000"/>
          <w:sz w:val="28"/>
          <w:szCs w:val="28"/>
        </w:rPr>
        <w:t>31</w:t>
      </w:r>
      <w:r>
        <w:rPr>
          <w:rFonts w:ascii="Times New Roman" w:hAnsi="仿宋" w:eastAsia="仿宋" w:cs="Times New Roman"/>
          <w:color w:val="000000"/>
          <w:sz w:val="28"/>
          <w:szCs w:val="28"/>
        </w:rPr>
        <w:t>日，该项目资金</w:t>
      </w:r>
      <w:r>
        <w:rPr>
          <w:rFonts w:ascii="Times New Roman" w:hAnsi="Times New Roman" w:eastAsia="仿宋" w:cs="Times New Roman"/>
          <w:color w:val="000000"/>
          <w:sz w:val="28"/>
          <w:szCs w:val="28"/>
        </w:rPr>
        <w:t>45.69</w:t>
      </w:r>
      <w:r>
        <w:rPr>
          <w:rFonts w:ascii="Times New Roman" w:hAnsi="仿宋" w:eastAsia="仿宋" w:cs="Times New Roman"/>
          <w:color w:val="000000"/>
          <w:sz w:val="28"/>
          <w:szCs w:val="28"/>
        </w:rPr>
        <w:t>万元已全额使用。</w:t>
      </w:r>
    </w:p>
    <w:p w14:paraId="47A751B1">
      <w:pPr>
        <w:snapToGrid w:val="0"/>
        <w:spacing w:line="500" w:lineRule="exact"/>
        <w:ind w:firstLine="426"/>
        <w:rPr>
          <w:rFonts w:ascii="Times New Roman" w:hAnsi="Times New Roman" w:eastAsia="仿宋" w:cs="Times New Roman"/>
          <w:bCs/>
          <w:sz w:val="28"/>
          <w:szCs w:val="28"/>
        </w:rPr>
      </w:pPr>
      <w:r>
        <w:rPr>
          <w:rFonts w:ascii="Times New Roman" w:hAnsi="Times New Roman" w:eastAsia="仿宋" w:cs="Times New Roman"/>
          <w:bCs/>
          <w:sz w:val="28"/>
          <w:szCs w:val="28"/>
        </w:rPr>
        <w:t>3</w:t>
      </w:r>
      <w:r>
        <w:rPr>
          <w:rFonts w:ascii="Times New Roman" w:hAnsi="仿宋" w:eastAsia="仿宋" w:cs="Times New Roman"/>
          <w:bCs/>
          <w:sz w:val="28"/>
          <w:szCs w:val="28"/>
        </w:rPr>
        <w:t>．财务管理（评价得分</w:t>
      </w:r>
      <w:r>
        <w:rPr>
          <w:rFonts w:ascii="Times New Roman" w:hAnsi="Times New Roman" w:eastAsia="仿宋" w:cs="Times New Roman"/>
          <w:bCs/>
          <w:sz w:val="28"/>
          <w:szCs w:val="28"/>
        </w:rPr>
        <w:t>3</w:t>
      </w:r>
      <w:r>
        <w:rPr>
          <w:rFonts w:ascii="Times New Roman" w:hAnsi="仿宋" w:eastAsia="仿宋" w:cs="Times New Roman"/>
          <w:bCs/>
          <w:sz w:val="28"/>
          <w:szCs w:val="28"/>
        </w:rPr>
        <w:t>分）</w:t>
      </w:r>
    </w:p>
    <w:p w14:paraId="5E067382">
      <w:pPr>
        <w:snapToGrid w:val="0"/>
        <w:spacing w:line="500" w:lineRule="exact"/>
        <w:ind w:firstLine="560"/>
        <w:rPr>
          <w:rFonts w:ascii="Times New Roman" w:hAnsi="Times New Roman" w:eastAsia="仿宋" w:cs="Times New Roman"/>
          <w:bCs/>
          <w:sz w:val="28"/>
          <w:szCs w:val="28"/>
        </w:rPr>
      </w:pPr>
      <w:r>
        <w:rPr>
          <w:rFonts w:ascii="Times New Roman" w:hAnsi="仿宋" w:eastAsia="仿宋" w:cs="Times New Roman"/>
          <w:sz w:val="28"/>
          <w:szCs w:val="28"/>
        </w:rPr>
        <w:t>资金使用时存在项目间调剂使用现象，扣</w:t>
      </w:r>
      <w:r>
        <w:rPr>
          <w:rFonts w:ascii="Times New Roman" w:hAnsi="Times New Roman" w:eastAsia="仿宋" w:cs="Times New Roman"/>
          <w:sz w:val="28"/>
          <w:szCs w:val="28"/>
        </w:rPr>
        <w:t>2</w:t>
      </w:r>
      <w:r>
        <w:rPr>
          <w:rFonts w:ascii="Times New Roman" w:hAnsi="仿宋" w:eastAsia="仿宋" w:cs="Times New Roman"/>
          <w:sz w:val="28"/>
          <w:szCs w:val="28"/>
        </w:rPr>
        <w:t>分。</w:t>
      </w:r>
    </w:p>
    <w:bookmarkEnd w:id="67"/>
    <w:bookmarkEnd w:id="80"/>
    <w:bookmarkEnd w:id="81"/>
    <w:bookmarkEnd w:id="82"/>
    <w:bookmarkEnd w:id="83"/>
    <w:bookmarkEnd w:id="84"/>
    <w:bookmarkEnd w:id="85"/>
    <w:bookmarkEnd w:id="86"/>
    <w:bookmarkEnd w:id="87"/>
    <w:p w14:paraId="76B6D751">
      <w:pPr>
        <w:pStyle w:val="3"/>
        <w:suppressLineNumbers/>
        <w:spacing w:line="500" w:lineRule="exact"/>
        <w:ind w:left="488"/>
        <w:rPr>
          <w:rFonts w:ascii="Times New Roman" w:hAnsi="Times New Roman" w:eastAsia="仿宋" w:cs="Times New Roman"/>
          <w:sz w:val="28"/>
          <w:szCs w:val="28"/>
        </w:rPr>
      </w:pPr>
      <w:bookmarkStart w:id="88" w:name="_Toc514839494"/>
      <w:bookmarkStart w:id="89" w:name="_Toc394181012"/>
      <w:bookmarkStart w:id="90" w:name="_Toc394490599"/>
      <w:r>
        <w:rPr>
          <w:rFonts w:ascii="Times New Roman" w:hAnsi="仿宋" w:eastAsia="仿宋" w:cs="Times New Roman"/>
          <w:sz w:val="28"/>
          <w:szCs w:val="28"/>
        </w:rPr>
        <w:t>（二）产出指标（评价得分</w:t>
      </w:r>
      <w:r>
        <w:rPr>
          <w:rFonts w:ascii="Times New Roman" w:hAnsi="Times New Roman" w:eastAsia="仿宋" w:cs="Times New Roman"/>
          <w:sz w:val="28"/>
          <w:szCs w:val="28"/>
        </w:rPr>
        <w:t>35</w:t>
      </w:r>
      <w:r>
        <w:rPr>
          <w:rFonts w:ascii="Times New Roman" w:hAnsi="仿宋" w:eastAsia="仿宋" w:cs="Times New Roman"/>
          <w:sz w:val="28"/>
          <w:szCs w:val="28"/>
        </w:rPr>
        <w:t>分）</w:t>
      </w:r>
      <w:bookmarkEnd w:id="88"/>
    </w:p>
    <w:p w14:paraId="7F378BC1">
      <w:pPr>
        <w:pStyle w:val="11"/>
        <w:tabs>
          <w:tab w:val="right" w:pos="8700"/>
        </w:tabs>
        <w:spacing w:line="500" w:lineRule="exact"/>
        <w:ind w:left="482"/>
        <w:outlineLvl w:val="2"/>
        <w:rPr>
          <w:rFonts w:ascii="Times New Roman" w:hAnsi="Times New Roman" w:eastAsia="仿宋" w:cs="Times New Roman"/>
          <w:bCs w:val="0"/>
          <w:sz w:val="28"/>
          <w:szCs w:val="28"/>
        </w:rPr>
      </w:pPr>
      <w:r>
        <w:rPr>
          <w:rFonts w:ascii="Times New Roman" w:hAnsi="仿宋" w:eastAsia="仿宋" w:cs="Times New Roman"/>
          <w:bCs w:val="0"/>
          <w:sz w:val="28"/>
          <w:szCs w:val="28"/>
        </w:rPr>
        <w:t>根据评价原则，项目产出评价得分为</w:t>
      </w:r>
      <w:r>
        <w:rPr>
          <w:rFonts w:ascii="Times New Roman" w:hAnsi="Times New Roman" w:eastAsia="仿宋" w:cs="Times New Roman"/>
          <w:bCs w:val="0"/>
          <w:sz w:val="28"/>
          <w:szCs w:val="28"/>
        </w:rPr>
        <w:t>35</w:t>
      </w:r>
      <w:r>
        <w:rPr>
          <w:rFonts w:ascii="Times New Roman" w:hAnsi="仿宋" w:eastAsia="仿宋" w:cs="Times New Roman"/>
          <w:bCs w:val="0"/>
          <w:sz w:val="28"/>
          <w:szCs w:val="28"/>
        </w:rPr>
        <w:t>分，评价结果为良。</w:t>
      </w:r>
      <w:bookmarkEnd w:id="68"/>
      <w:bookmarkEnd w:id="69"/>
      <w:bookmarkEnd w:id="70"/>
      <w:bookmarkEnd w:id="71"/>
      <w:bookmarkEnd w:id="72"/>
      <w:bookmarkEnd w:id="89"/>
      <w:bookmarkEnd w:id="90"/>
      <w:bookmarkStart w:id="91" w:name="_Toc387957824"/>
      <w:bookmarkStart w:id="92" w:name="_Toc406668049"/>
      <w:bookmarkStart w:id="93" w:name="_Toc406666375"/>
    </w:p>
    <w:p w14:paraId="61B46B59">
      <w:pPr>
        <w:snapToGrid w:val="0"/>
        <w:spacing w:line="500" w:lineRule="exact"/>
        <w:ind w:firstLine="480"/>
        <w:rPr>
          <w:rFonts w:ascii="Times New Roman" w:hAnsi="Times New Roman" w:eastAsia="仿宋" w:cs="Times New Roman"/>
          <w:bCs/>
          <w:sz w:val="28"/>
          <w:szCs w:val="28"/>
        </w:rPr>
      </w:pPr>
      <w:bookmarkStart w:id="94" w:name="_Toc514839495"/>
      <w:bookmarkStart w:id="95" w:name="_Toc490574988"/>
      <w:bookmarkStart w:id="96" w:name="_Toc27932"/>
      <w:bookmarkStart w:id="97" w:name="_Toc394490603"/>
      <w:bookmarkStart w:id="98" w:name="_Toc394181016"/>
      <w:r>
        <w:rPr>
          <w:rFonts w:ascii="Times New Roman" w:hAnsi="仿宋" w:eastAsia="仿宋" w:cs="Times New Roman"/>
          <w:bCs/>
          <w:sz w:val="28"/>
          <w:szCs w:val="28"/>
        </w:rPr>
        <w:t>项目实际完成率</w:t>
      </w:r>
      <w:bookmarkEnd w:id="94"/>
      <w:r>
        <w:rPr>
          <w:rFonts w:ascii="Times New Roman" w:hAnsi="仿宋" w:eastAsia="仿宋" w:cs="Times New Roman"/>
          <w:bCs/>
          <w:sz w:val="28"/>
          <w:szCs w:val="28"/>
        </w:rPr>
        <w:t>（评价得分</w:t>
      </w:r>
      <w:r>
        <w:rPr>
          <w:rFonts w:ascii="Times New Roman" w:hAnsi="Times New Roman" w:eastAsia="仿宋" w:cs="Times New Roman"/>
          <w:bCs/>
          <w:sz w:val="28"/>
          <w:szCs w:val="28"/>
        </w:rPr>
        <w:t>35</w:t>
      </w:r>
      <w:r>
        <w:rPr>
          <w:rFonts w:ascii="Times New Roman" w:hAnsi="仿宋" w:eastAsia="仿宋" w:cs="Times New Roman"/>
          <w:bCs/>
          <w:sz w:val="28"/>
          <w:szCs w:val="28"/>
        </w:rPr>
        <w:t>分）</w:t>
      </w:r>
    </w:p>
    <w:p w14:paraId="70FF1A07">
      <w:pPr>
        <w:snapToGrid w:val="0"/>
        <w:spacing w:line="500" w:lineRule="exact"/>
        <w:ind w:firstLine="480"/>
        <w:rPr>
          <w:rFonts w:ascii="Times New Roman" w:hAnsi="Times New Roman" w:eastAsia="仿宋" w:cs="Times New Roman"/>
          <w:color w:val="000000"/>
          <w:sz w:val="28"/>
          <w:szCs w:val="28"/>
        </w:rPr>
      </w:pPr>
      <w:r>
        <w:rPr>
          <w:rFonts w:ascii="Times New Roman" w:hAnsi="仿宋" w:eastAsia="仿宋" w:cs="Times New Roman"/>
          <w:bCs/>
          <w:sz w:val="28"/>
          <w:szCs w:val="28"/>
        </w:rPr>
        <w:t>绩效评价得分</w:t>
      </w:r>
      <w:r>
        <w:rPr>
          <w:rFonts w:ascii="Times New Roman" w:hAnsi="Times New Roman" w:eastAsia="仿宋" w:cs="Times New Roman"/>
          <w:bCs/>
          <w:sz w:val="28"/>
          <w:szCs w:val="28"/>
        </w:rPr>
        <w:t>35</w:t>
      </w:r>
      <w:r>
        <w:rPr>
          <w:rFonts w:ascii="Times New Roman" w:hAnsi="仿宋" w:eastAsia="仿宋" w:cs="Times New Roman"/>
          <w:bCs/>
          <w:sz w:val="28"/>
          <w:szCs w:val="28"/>
        </w:rPr>
        <w:t>分。主要评价</w:t>
      </w:r>
      <w:r>
        <w:rPr>
          <w:rFonts w:ascii="Times New Roman" w:hAnsi="仿宋" w:eastAsia="仿宋" w:cs="Times New Roman"/>
          <w:color w:val="000000"/>
          <w:sz w:val="28"/>
          <w:szCs w:val="28"/>
        </w:rPr>
        <w:t>党员教育工作</w:t>
      </w:r>
      <w:r>
        <w:rPr>
          <w:rFonts w:ascii="Times New Roman" w:hAnsi="仿宋" w:eastAsia="仿宋" w:cs="Times New Roman"/>
          <w:bCs/>
          <w:sz w:val="28"/>
          <w:szCs w:val="28"/>
        </w:rPr>
        <w:t>情况、</w:t>
      </w:r>
      <w:r>
        <w:rPr>
          <w:rFonts w:ascii="Times New Roman" w:hAnsi="仿宋" w:eastAsia="仿宋" w:cs="Times New Roman"/>
          <w:color w:val="000000"/>
          <w:sz w:val="28"/>
          <w:szCs w:val="28"/>
        </w:rPr>
        <w:t>宣传舆情工作</w:t>
      </w:r>
      <w:r>
        <w:rPr>
          <w:rFonts w:ascii="Times New Roman" w:hAnsi="仿宋" w:eastAsia="仿宋" w:cs="Times New Roman"/>
          <w:bCs/>
          <w:sz w:val="28"/>
          <w:szCs w:val="28"/>
        </w:rPr>
        <w:t>情况、</w:t>
      </w:r>
      <w:r>
        <w:rPr>
          <w:rFonts w:ascii="Times New Roman" w:hAnsi="仿宋" w:eastAsia="仿宋" w:cs="Times New Roman"/>
          <w:color w:val="000000"/>
          <w:sz w:val="28"/>
          <w:szCs w:val="28"/>
        </w:rPr>
        <w:t>开展</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两学一做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学习教育，推进</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红色引擎工程</w:t>
      </w:r>
      <w:r>
        <w:rPr>
          <w:rFonts w:ascii="Times New Roman" w:hAnsi="Times New Roman" w:eastAsia="仿宋" w:cs="Times New Roman"/>
          <w:color w:val="000000"/>
          <w:sz w:val="28"/>
          <w:szCs w:val="28"/>
        </w:rPr>
        <w:t>”</w:t>
      </w:r>
      <w:r>
        <w:rPr>
          <w:rFonts w:ascii="Times New Roman" w:hAnsi="仿宋" w:eastAsia="仿宋" w:cs="Times New Roman"/>
          <w:bCs/>
          <w:sz w:val="28"/>
          <w:szCs w:val="28"/>
        </w:rPr>
        <w:t>情况、</w:t>
      </w:r>
      <w:r>
        <w:rPr>
          <w:rFonts w:ascii="Times New Roman" w:hAnsi="仿宋" w:eastAsia="仿宋" w:cs="Times New Roman"/>
          <w:color w:val="000000"/>
          <w:sz w:val="28"/>
          <w:szCs w:val="28"/>
        </w:rPr>
        <w:t>民族团结统一战线工作</w:t>
      </w:r>
      <w:r>
        <w:rPr>
          <w:rFonts w:ascii="Times New Roman" w:hAnsi="仿宋" w:eastAsia="仿宋" w:cs="Times New Roman"/>
          <w:bCs/>
          <w:sz w:val="28"/>
          <w:szCs w:val="28"/>
        </w:rPr>
        <w:t>情况。</w:t>
      </w:r>
    </w:p>
    <w:p w14:paraId="160E7349">
      <w:pPr>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．党员教育工作（</w:t>
      </w:r>
      <w:r>
        <w:rPr>
          <w:rFonts w:ascii="Times New Roman" w:hAnsi="Times New Roman" w:eastAsia="仿宋" w:cs="Times New Roman"/>
          <w:color w:val="000000"/>
          <w:sz w:val="28"/>
          <w:szCs w:val="28"/>
        </w:rPr>
        <w:t>10</w:t>
      </w:r>
      <w:r>
        <w:rPr>
          <w:rFonts w:ascii="Times New Roman" w:hAnsi="仿宋" w:eastAsia="仿宋" w:cs="Times New Roman"/>
          <w:color w:val="000000"/>
          <w:sz w:val="28"/>
          <w:szCs w:val="28"/>
        </w:rPr>
        <w:t>分）</w:t>
      </w:r>
      <w:bookmarkEnd w:id="95"/>
      <w:bookmarkEnd w:id="96"/>
    </w:p>
    <w:bookmarkEnd w:id="91"/>
    <w:bookmarkEnd w:id="92"/>
    <w:bookmarkEnd w:id="93"/>
    <w:bookmarkEnd w:id="97"/>
    <w:bookmarkEnd w:id="98"/>
    <w:p w14:paraId="3E51DEE4">
      <w:pPr>
        <w:snapToGrid w:val="0"/>
        <w:spacing w:line="500" w:lineRule="exact"/>
        <w:ind w:firstLine="480"/>
        <w:rPr>
          <w:rFonts w:ascii="Times New Roman" w:hAnsi="Times New Roman" w:eastAsia="仿宋" w:cs="Times New Roman"/>
          <w:color w:val="000000"/>
          <w:sz w:val="28"/>
          <w:szCs w:val="28"/>
        </w:rPr>
      </w:pPr>
      <w:bookmarkStart w:id="99" w:name="_Toc23176"/>
      <w:bookmarkStart w:id="100" w:name="_Toc490574989"/>
      <w:bookmarkStart w:id="101" w:name="_Toc394181022"/>
      <w:bookmarkStart w:id="102" w:name="_Toc406668051"/>
      <w:bookmarkStart w:id="103" w:name="_Toc406666377"/>
      <w:bookmarkStart w:id="104" w:name="_Toc361304701"/>
      <w:bookmarkStart w:id="105" w:name="_Toc361302038"/>
      <w:bookmarkStart w:id="106" w:name="_Toc387957826"/>
      <w:r>
        <w:rPr>
          <w:rFonts w:ascii="Times New Roman" w:hAnsi="仿宋" w:eastAsia="仿宋" w:cs="Times New Roman"/>
          <w:color w:val="000000"/>
          <w:sz w:val="28"/>
          <w:szCs w:val="28"/>
        </w:rPr>
        <w:t>完成上级组织的培训计划</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在职党员培训</w:t>
      </w:r>
      <w:r>
        <w:rPr>
          <w:rFonts w:ascii="Times New Roman" w:hAnsi="Times New Roman" w:eastAsia="仿宋" w:cs="Times New Roman"/>
          <w:color w:val="000000"/>
          <w:sz w:val="28"/>
          <w:szCs w:val="28"/>
        </w:rPr>
        <w:t>100</w:t>
      </w:r>
      <w:r>
        <w:rPr>
          <w:rFonts w:hint="eastAsia" w:ascii="Times New Roman" w:hAnsi="Times New Roman" w:eastAsia="仿宋" w:cs="Times New Roman"/>
          <w:color w:val="000000"/>
          <w:sz w:val="28"/>
          <w:szCs w:val="28"/>
        </w:rPr>
        <w:t>.00</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离退休党员培训</w:t>
      </w:r>
      <w:r>
        <w:rPr>
          <w:rFonts w:ascii="Times New Roman" w:hAnsi="Times New Roman" w:eastAsia="仿宋" w:cs="Times New Roman"/>
          <w:color w:val="000000"/>
          <w:sz w:val="28"/>
          <w:szCs w:val="28"/>
        </w:rPr>
        <w:t>85</w:t>
      </w:r>
      <w:r>
        <w:rPr>
          <w:rFonts w:hint="eastAsia" w:ascii="Times New Roman" w:hAnsi="Times New Roman" w:eastAsia="仿宋" w:cs="Times New Roman"/>
          <w:color w:val="000000"/>
          <w:sz w:val="28"/>
          <w:szCs w:val="28"/>
        </w:rPr>
        <w:t>.00</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w:t>
      </w:r>
    </w:p>
    <w:p w14:paraId="6695C6A4">
      <w:pPr>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．宣传舆情工作（</w:t>
      </w:r>
      <w:r>
        <w:rPr>
          <w:rFonts w:ascii="Times New Roman" w:hAnsi="Times New Roman" w:eastAsia="仿宋" w:cs="Times New Roman"/>
          <w:color w:val="000000"/>
          <w:sz w:val="28"/>
          <w:szCs w:val="28"/>
        </w:rPr>
        <w:t>10</w:t>
      </w:r>
      <w:r>
        <w:rPr>
          <w:rFonts w:ascii="Times New Roman" w:hAnsi="仿宋" w:eastAsia="仿宋" w:cs="Times New Roman"/>
          <w:color w:val="000000"/>
          <w:sz w:val="28"/>
          <w:szCs w:val="28"/>
        </w:rPr>
        <w:t>分）</w:t>
      </w:r>
      <w:bookmarkEnd w:id="99"/>
      <w:bookmarkEnd w:id="100"/>
    </w:p>
    <w:p w14:paraId="57C1C1D5">
      <w:pPr>
        <w:snapToGrid w:val="0"/>
        <w:spacing w:line="500" w:lineRule="exact"/>
        <w:ind w:firstLine="480"/>
        <w:rPr>
          <w:rFonts w:ascii="Times New Roman" w:hAnsi="Times New Roman" w:eastAsia="仿宋" w:cs="Times New Roman"/>
          <w:color w:val="000000"/>
          <w:sz w:val="28"/>
          <w:szCs w:val="28"/>
        </w:rPr>
      </w:pPr>
      <w:bookmarkStart w:id="107" w:name="_Toc490574990"/>
      <w:bookmarkStart w:id="108" w:name="_Toc30575"/>
      <w:r>
        <w:rPr>
          <w:rFonts w:ascii="Times New Roman" w:hAnsi="仿宋" w:eastAsia="仿宋" w:cs="Times New Roman"/>
          <w:color w:val="000000"/>
          <w:sz w:val="28"/>
          <w:szCs w:val="28"/>
        </w:rPr>
        <w:t>刊发媒体宣传报道</w:t>
      </w: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篇、先锋硚口报道</w:t>
      </w: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篇、武汉组工宣传</w:t>
      </w: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篇。</w:t>
      </w:r>
    </w:p>
    <w:p w14:paraId="39F5B2EF">
      <w:pPr>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．开展</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两学一做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学习教育，推进</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红色引擎工程</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w:t>
      </w:r>
      <w:r>
        <w:rPr>
          <w:rFonts w:ascii="Times New Roman" w:hAnsi="Times New Roman" w:eastAsia="仿宋" w:cs="Times New Roman"/>
          <w:color w:val="000000"/>
          <w:sz w:val="28"/>
          <w:szCs w:val="28"/>
        </w:rPr>
        <w:t>10</w:t>
      </w:r>
      <w:r>
        <w:rPr>
          <w:rFonts w:ascii="Times New Roman" w:hAnsi="仿宋" w:eastAsia="仿宋" w:cs="Times New Roman"/>
          <w:color w:val="000000"/>
          <w:sz w:val="28"/>
          <w:szCs w:val="28"/>
        </w:rPr>
        <w:t>分）</w:t>
      </w:r>
      <w:bookmarkEnd w:id="107"/>
      <w:bookmarkEnd w:id="108"/>
    </w:p>
    <w:p w14:paraId="7BC534F8">
      <w:pPr>
        <w:snapToGrid w:val="0"/>
        <w:spacing w:line="500" w:lineRule="exact"/>
        <w:ind w:firstLine="48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全年组织学习</w:t>
      </w:r>
      <w:r>
        <w:rPr>
          <w:rFonts w:ascii="Times New Roman" w:hAnsi="Times New Roman" w:eastAsia="仿宋" w:cs="Times New Roman"/>
          <w:color w:val="000000"/>
          <w:sz w:val="28"/>
          <w:szCs w:val="28"/>
        </w:rPr>
        <w:t>12</w:t>
      </w:r>
      <w:r>
        <w:rPr>
          <w:rFonts w:ascii="Times New Roman" w:hAnsi="仿宋" w:eastAsia="仿宋" w:cs="Times New Roman"/>
          <w:color w:val="000000"/>
          <w:sz w:val="28"/>
          <w:szCs w:val="28"/>
        </w:rPr>
        <w:t>次，机关党委和荣东、学堂、游艺、民意</w:t>
      </w:r>
      <w:r>
        <w:rPr>
          <w:rFonts w:ascii="Times New Roman" w:hAnsi="Times New Roman" w:eastAsia="仿宋" w:cs="Times New Roman"/>
          <w:color w:val="000000"/>
          <w:sz w:val="28"/>
          <w:szCs w:val="28"/>
        </w:rPr>
        <w:t xml:space="preserve">4 </w:t>
      </w:r>
      <w:r>
        <w:rPr>
          <w:rFonts w:ascii="Times New Roman" w:hAnsi="仿宋" w:eastAsia="仿宋" w:cs="Times New Roman"/>
          <w:color w:val="000000"/>
          <w:sz w:val="28"/>
          <w:szCs w:val="28"/>
        </w:rPr>
        <w:t>个社区党委获批市级</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五星级基层党组织</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荣誉称号，全年新发展党员</w:t>
      </w:r>
      <w:r>
        <w:rPr>
          <w:rFonts w:ascii="Times New Roman" w:hAnsi="Times New Roman" w:eastAsia="仿宋" w:cs="Times New Roman"/>
          <w:color w:val="000000"/>
          <w:sz w:val="28"/>
          <w:szCs w:val="28"/>
        </w:rPr>
        <w:t>12</w:t>
      </w:r>
      <w:r>
        <w:rPr>
          <w:rFonts w:ascii="Times New Roman" w:hAnsi="仿宋" w:eastAsia="仿宋" w:cs="Times New Roman"/>
          <w:color w:val="000000"/>
          <w:sz w:val="28"/>
          <w:szCs w:val="28"/>
        </w:rPr>
        <w:t>名，</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胡春莉、刘青</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两名党员同志获评全区十佳服务能手。</w:t>
      </w:r>
    </w:p>
    <w:p w14:paraId="57C4087D">
      <w:pPr>
        <w:snapToGrid w:val="0"/>
        <w:spacing w:line="500" w:lineRule="exact"/>
        <w:ind w:firstLine="426"/>
        <w:rPr>
          <w:rFonts w:ascii="Times New Roman" w:hAnsi="Times New Roman" w:eastAsia="仿宋" w:cs="Times New Roman"/>
          <w:color w:val="000000"/>
          <w:sz w:val="28"/>
          <w:szCs w:val="28"/>
        </w:rPr>
      </w:pPr>
      <w:bookmarkStart w:id="109" w:name="_Toc419044551"/>
      <w:bookmarkStart w:id="110" w:name="_Toc25894"/>
      <w:bookmarkStart w:id="111" w:name="_Toc490574991"/>
      <w:r>
        <w:rPr>
          <w:rFonts w:ascii="Times New Roman" w:hAnsi="Times New Roman" w:eastAsia="仿宋" w:cs="Times New Roman"/>
          <w:color w:val="000000"/>
          <w:sz w:val="28"/>
          <w:szCs w:val="28"/>
        </w:rPr>
        <w:t xml:space="preserve">4. </w:t>
      </w:r>
      <w:bookmarkEnd w:id="109"/>
      <w:r>
        <w:rPr>
          <w:rFonts w:ascii="Times New Roman" w:hAnsi="仿宋" w:eastAsia="仿宋" w:cs="Times New Roman"/>
          <w:color w:val="000000"/>
          <w:sz w:val="28"/>
          <w:szCs w:val="28"/>
        </w:rPr>
        <w:t>民族团结统一战线工作（</w:t>
      </w:r>
      <w:r>
        <w:rPr>
          <w:rFonts w:ascii="Times New Roman" w:hAnsi="Times New Roman" w:eastAsia="仿宋" w:cs="Times New Roman"/>
          <w:color w:val="000000"/>
          <w:sz w:val="28"/>
          <w:szCs w:val="28"/>
        </w:rPr>
        <w:t>5</w:t>
      </w:r>
      <w:r>
        <w:rPr>
          <w:rFonts w:ascii="Times New Roman" w:hAnsi="仿宋" w:eastAsia="仿宋" w:cs="Times New Roman"/>
          <w:color w:val="000000"/>
          <w:sz w:val="28"/>
          <w:szCs w:val="28"/>
        </w:rPr>
        <w:t>分）</w:t>
      </w:r>
      <w:bookmarkEnd w:id="110"/>
      <w:bookmarkEnd w:id="111"/>
    </w:p>
    <w:p w14:paraId="7CC5E883">
      <w:pPr>
        <w:snapToGrid w:val="0"/>
        <w:spacing w:line="500" w:lineRule="exact"/>
        <w:ind w:firstLine="48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民族团结统一战线相关工作完成率</w:t>
      </w:r>
      <w:r>
        <w:rPr>
          <w:rFonts w:ascii="Times New Roman" w:hAnsi="Times New Roman" w:eastAsia="仿宋" w:cs="Times New Roman"/>
          <w:color w:val="000000"/>
          <w:sz w:val="28"/>
          <w:szCs w:val="28"/>
        </w:rPr>
        <w:t>80.00%</w:t>
      </w:r>
      <w:r>
        <w:rPr>
          <w:rFonts w:ascii="Times New Roman" w:hAnsi="仿宋" w:eastAsia="仿宋" w:cs="Times New Roman"/>
          <w:color w:val="000000"/>
          <w:sz w:val="28"/>
          <w:szCs w:val="28"/>
        </w:rPr>
        <w:t>，扣</w:t>
      </w:r>
      <w:r>
        <w:rPr>
          <w:rFonts w:ascii="Times New Roman" w:hAnsi="Times New Roman" w:eastAsia="仿宋" w:cs="Times New Roman"/>
          <w:color w:val="000000"/>
          <w:sz w:val="28"/>
          <w:szCs w:val="28"/>
        </w:rPr>
        <w:t>5</w:t>
      </w:r>
      <w:r>
        <w:rPr>
          <w:rFonts w:ascii="Times New Roman" w:hAnsi="仿宋" w:eastAsia="仿宋" w:cs="Times New Roman"/>
          <w:color w:val="000000"/>
          <w:sz w:val="28"/>
          <w:szCs w:val="28"/>
        </w:rPr>
        <w:t>分。</w:t>
      </w:r>
    </w:p>
    <w:p w14:paraId="0959E2C3">
      <w:pPr>
        <w:pStyle w:val="3"/>
        <w:spacing w:line="500" w:lineRule="exact"/>
        <w:ind w:left="420" w:leftChars="200"/>
        <w:rPr>
          <w:rFonts w:ascii="Times New Roman" w:hAnsi="Times New Roman" w:eastAsia="仿宋" w:cs="Times New Roman"/>
          <w:sz w:val="28"/>
          <w:szCs w:val="28"/>
        </w:rPr>
      </w:pPr>
      <w:bookmarkStart w:id="112" w:name="_Toc419044552"/>
      <w:bookmarkStart w:id="113" w:name="_Toc417753609"/>
      <w:bookmarkStart w:id="114" w:name="_Toc13038"/>
      <w:bookmarkStart w:id="115" w:name="_Toc490574992"/>
      <w:r>
        <w:rPr>
          <w:rFonts w:ascii="Times New Roman" w:hAnsi="仿宋" w:eastAsia="仿宋" w:cs="Times New Roman"/>
          <w:sz w:val="28"/>
          <w:szCs w:val="28"/>
        </w:rPr>
        <w:t>（三）效果</w:t>
      </w:r>
      <w:bookmarkEnd w:id="112"/>
      <w:bookmarkEnd w:id="113"/>
      <w:r>
        <w:rPr>
          <w:rFonts w:ascii="Times New Roman" w:hAnsi="仿宋" w:eastAsia="仿宋" w:cs="Times New Roman"/>
          <w:sz w:val="28"/>
          <w:szCs w:val="28"/>
        </w:rPr>
        <w:t>指标（</w:t>
      </w:r>
      <w:r>
        <w:rPr>
          <w:rFonts w:ascii="Times New Roman" w:hAnsi="Times New Roman" w:eastAsia="仿宋" w:cs="Times New Roman"/>
          <w:sz w:val="28"/>
          <w:szCs w:val="28"/>
        </w:rPr>
        <w:t>40</w:t>
      </w:r>
      <w:r>
        <w:rPr>
          <w:rFonts w:ascii="Times New Roman" w:hAnsi="仿宋" w:eastAsia="仿宋" w:cs="Times New Roman"/>
          <w:sz w:val="28"/>
          <w:szCs w:val="28"/>
        </w:rPr>
        <w:t>分）</w:t>
      </w:r>
      <w:bookmarkEnd w:id="114"/>
      <w:bookmarkEnd w:id="115"/>
    </w:p>
    <w:p w14:paraId="20D25B03">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根据评价原则，项目效果评价得分为</w:t>
      </w:r>
      <w:r>
        <w:rPr>
          <w:rFonts w:ascii="Times New Roman" w:hAnsi="Times New Roman" w:eastAsia="仿宋" w:cs="Times New Roman"/>
          <w:bCs/>
          <w:sz w:val="28"/>
          <w:szCs w:val="28"/>
        </w:rPr>
        <w:t>40</w:t>
      </w:r>
      <w:r>
        <w:rPr>
          <w:rFonts w:ascii="Times New Roman" w:hAnsi="仿宋" w:eastAsia="仿宋" w:cs="Times New Roman"/>
          <w:bCs/>
          <w:sz w:val="28"/>
          <w:szCs w:val="28"/>
        </w:rPr>
        <w:t>分，评价等级为优。</w:t>
      </w:r>
    </w:p>
    <w:p w14:paraId="3C65B8F0">
      <w:pPr>
        <w:pStyle w:val="11"/>
        <w:adjustRightInd w:val="0"/>
        <w:snapToGrid w:val="0"/>
        <w:spacing w:line="500" w:lineRule="exact"/>
        <w:ind w:firstLine="425" w:firstLineChars="152"/>
        <w:outlineLvl w:val="2"/>
        <w:rPr>
          <w:rFonts w:ascii="Times New Roman" w:hAnsi="Times New Roman" w:eastAsia="仿宋" w:cs="Times New Roman"/>
          <w:bCs w:val="0"/>
          <w:sz w:val="28"/>
          <w:szCs w:val="28"/>
        </w:rPr>
      </w:pPr>
      <w:bookmarkStart w:id="116" w:name="_Toc6203"/>
      <w:bookmarkStart w:id="117" w:name="_Toc490574994"/>
      <w:r>
        <w:rPr>
          <w:rFonts w:ascii="Times New Roman" w:hAnsi="Times New Roman" w:eastAsia="仿宋" w:cs="Times New Roman"/>
          <w:bCs w:val="0"/>
          <w:sz w:val="28"/>
          <w:szCs w:val="28"/>
        </w:rPr>
        <w:t xml:space="preserve">1. </w:t>
      </w:r>
      <w:r>
        <w:rPr>
          <w:rFonts w:ascii="Times New Roman" w:hAnsi="仿宋" w:eastAsia="仿宋" w:cs="Times New Roman"/>
          <w:bCs w:val="0"/>
          <w:sz w:val="28"/>
          <w:szCs w:val="28"/>
        </w:rPr>
        <w:t>社会效益（</w:t>
      </w:r>
      <w:r>
        <w:rPr>
          <w:rFonts w:ascii="Times New Roman" w:hAnsi="Times New Roman" w:eastAsia="仿宋" w:cs="Times New Roman"/>
          <w:bCs w:val="0"/>
          <w:sz w:val="28"/>
          <w:szCs w:val="28"/>
        </w:rPr>
        <w:t>15</w:t>
      </w:r>
      <w:r>
        <w:rPr>
          <w:rFonts w:ascii="Times New Roman" w:hAnsi="仿宋" w:eastAsia="仿宋" w:cs="Times New Roman"/>
          <w:bCs w:val="0"/>
          <w:sz w:val="28"/>
          <w:szCs w:val="28"/>
        </w:rPr>
        <w:t>分）</w:t>
      </w:r>
      <w:bookmarkEnd w:id="116"/>
      <w:bookmarkEnd w:id="117"/>
    </w:p>
    <w:p w14:paraId="0316B040">
      <w:pPr>
        <w:snapToGrid w:val="0"/>
        <w:spacing w:line="500" w:lineRule="exact"/>
        <w:ind w:firstLine="480"/>
        <w:rPr>
          <w:rFonts w:ascii="Times New Roman" w:hAnsi="Times New Roman" w:eastAsia="仿宋" w:cs="Times New Roman"/>
          <w:bCs/>
          <w:sz w:val="28"/>
          <w:szCs w:val="28"/>
        </w:rPr>
      </w:pPr>
      <w:r>
        <w:rPr>
          <w:rFonts w:ascii="Times New Roman" w:hAnsi="仿宋" w:eastAsia="仿宋" w:cs="Times New Roman"/>
          <w:bCs/>
          <w:sz w:val="28"/>
          <w:szCs w:val="28"/>
        </w:rPr>
        <w:t>项目社会效益良好，评价得分</w:t>
      </w:r>
      <w:r>
        <w:rPr>
          <w:rFonts w:ascii="Times New Roman" w:hAnsi="Times New Roman" w:eastAsia="仿宋" w:cs="Times New Roman"/>
          <w:bCs/>
          <w:sz w:val="28"/>
          <w:szCs w:val="28"/>
        </w:rPr>
        <w:t>15</w:t>
      </w:r>
      <w:r>
        <w:rPr>
          <w:rFonts w:ascii="Times New Roman" w:hAnsi="仿宋" w:eastAsia="仿宋" w:cs="Times New Roman"/>
          <w:bCs/>
          <w:sz w:val="28"/>
          <w:szCs w:val="28"/>
        </w:rPr>
        <w:t>分。</w:t>
      </w:r>
    </w:p>
    <w:p w14:paraId="716DD98A">
      <w:pPr>
        <w:snapToGrid w:val="0"/>
        <w:spacing w:line="500" w:lineRule="exact"/>
        <w:ind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2018</w:t>
      </w:r>
      <w:r>
        <w:rPr>
          <w:rFonts w:ascii="Times New Roman" w:hAnsi="仿宋" w:eastAsia="仿宋" w:cs="Times New Roman"/>
          <w:bCs/>
          <w:sz w:val="28"/>
          <w:szCs w:val="28"/>
        </w:rPr>
        <w:t>年度党建综合事务经费的使用，以严肃党内政治生活和强化党内监督为重点，以落实全面从严治党要求为主题，以</w:t>
      </w:r>
      <w:r>
        <w:rPr>
          <w:rFonts w:ascii="Times New Roman" w:hAnsi="Times New Roman" w:eastAsia="仿宋" w:cs="Times New Roman"/>
          <w:bCs/>
          <w:sz w:val="28"/>
          <w:szCs w:val="28"/>
        </w:rPr>
        <w:t>“</w:t>
      </w:r>
      <w:r>
        <w:rPr>
          <w:rFonts w:ascii="Times New Roman" w:hAnsi="仿宋" w:eastAsia="仿宋" w:cs="Times New Roman"/>
          <w:bCs/>
          <w:sz w:val="28"/>
          <w:szCs w:val="28"/>
        </w:rPr>
        <w:t>红色引擎工程</w:t>
      </w:r>
      <w:r>
        <w:rPr>
          <w:rFonts w:ascii="Times New Roman" w:hAnsi="Times New Roman" w:eastAsia="仿宋" w:cs="Times New Roman"/>
          <w:bCs/>
          <w:sz w:val="28"/>
          <w:szCs w:val="28"/>
        </w:rPr>
        <w:t>”</w:t>
      </w:r>
      <w:r>
        <w:rPr>
          <w:rFonts w:ascii="Times New Roman" w:hAnsi="仿宋" w:eastAsia="仿宋" w:cs="Times New Roman"/>
          <w:bCs/>
          <w:sz w:val="28"/>
          <w:szCs w:val="28"/>
        </w:rPr>
        <w:t>为总抓手，突出</w:t>
      </w:r>
      <w:r>
        <w:rPr>
          <w:rFonts w:ascii="Times New Roman" w:hAnsi="Times New Roman" w:eastAsia="仿宋" w:cs="Times New Roman"/>
          <w:bCs/>
          <w:sz w:val="28"/>
          <w:szCs w:val="28"/>
        </w:rPr>
        <w:t>“</w:t>
      </w:r>
      <w:r>
        <w:rPr>
          <w:rFonts w:ascii="Times New Roman" w:hAnsi="仿宋" w:eastAsia="仿宋" w:cs="Times New Roman"/>
          <w:bCs/>
          <w:sz w:val="28"/>
          <w:szCs w:val="28"/>
        </w:rPr>
        <w:t>两学一做</w:t>
      </w:r>
      <w:r>
        <w:rPr>
          <w:rFonts w:ascii="Times New Roman" w:hAnsi="Times New Roman" w:eastAsia="仿宋" w:cs="Times New Roman"/>
          <w:bCs/>
          <w:sz w:val="28"/>
          <w:szCs w:val="28"/>
        </w:rPr>
        <w:t>”</w:t>
      </w:r>
      <w:r>
        <w:rPr>
          <w:rFonts w:ascii="Times New Roman" w:hAnsi="仿宋" w:eastAsia="仿宋" w:cs="Times New Roman"/>
          <w:bCs/>
          <w:sz w:val="28"/>
          <w:szCs w:val="28"/>
        </w:rPr>
        <w:t>学习教育、党建引领基层社会治理创新等重点工作，着力提升基层党组织软实力，有利于树立党员良好形象，丰富党员群众精神文化生活，创新基层社会治理，促进社区和谐稳定。</w:t>
      </w:r>
    </w:p>
    <w:p w14:paraId="0754F072">
      <w:pPr>
        <w:pStyle w:val="11"/>
        <w:adjustRightInd w:val="0"/>
        <w:snapToGrid w:val="0"/>
        <w:spacing w:line="500" w:lineRule="exact"/>
        <w:ind w:firstLine="426"/>
        <w:outlineLvl w:val="2"/>
        <w:rPr>
          <w:rFonts w:ascii="Times New Roman" w:hAnsi="Times New Roman" w:eastAsia="仿宋" w:cs="Times New Roman"/>
          <w:bCs w:val="0"/>
          <w:sz w:val="28"/>
          <w:szCs w:val="28"/>
        </w:rPr>
      </w:pPr>
      <w:bookmarkStart w:id="118" w:name="_Toc514839501"/>
      <w:r>
        <w:rPr>
          <w:rFonts w:ascii="Times New Roman" w:hAnsi="Times New Roman" w:eastAsia="仿宋" w:cs="Times New Roman"/>
          <w:bCs w:val="0"/>
          <w:sz w:val="28"/>
          <w:szCs w:val="28"/>
        </w:rPr>
        <w:t>2.</w:t>
      </w:r>
      <w:r>
        <w:rPr>
          <w:rFonts w:ascii="Times New Roman" w:hAnsi="仿宋" w:eastAsia="仿宋" w:cs="Times New Roman"/>
          <w:bCs w:val="0"/>
          <w:sz w:val="28"/>
          <w:szCs w:val="28"/>
        </w:rPr>
        <w:t>环境效益（评价得分</w:t>
      </w:r>
      <w:r>
        <w:rPr>
          <w:rFonts w:ascii="Times New Roman" w:hAnsi="Times New Roman" w:eastAsia="仿宋" w:cs="Times New Roman"/>
          <w:bCs w:val="0"/>
          <w:sz w:val="28"/>
          <w:szCs w:val="28"/>
        </w:rPr>
        <w:t>15</w:t>
      </w:r>
      <w:r>
        <w:rPr>
          <w:rFonts w:ascii="Times New Roman" w:hAnsi="仿宋" w:eastAsia="仿宋" w:cs="Times New Roman"/>
          <w:bCs w:val="0"/>
          <w:sz w:val="28"/>
          <w:szCs w:val="28"/>
        </w:rPr>
        <w:t>分）</w:t>
      </w:r>
      <w:bookmarkEnd w:id="118"/>
    </w:p>
    <w:p w14:paraId="6D73EC51">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项目环境效益良好，评价得分</w:t>
      </w:r>
      <w:r>
        <w:rPr>
          <w:rFonts w:ascii="Times New Roman" w:hAnsi="Times New Roman" w:eastAsia="仿宋" w:cs="Times New Roman"/>
          <w:bCs/>
          <w:sz w:val="28"/>
          <w:szCs w:val="28"/>
        </w:rPr>
        <w:t>15</w:t>
      </w:r>
      <w:r>
        <w:rPr>
          <w:rFonts w:ascii="Times New Roman" w:hAnsi="仿宋" w:eastAsia="仿宋" w:cs="Times New Roman"/>
          <w:bCs/>
          <w:sz w:val="28"/>
          <w:szCs w:val="28"/>
        </w:rPr>
        <w:t>分。</w:t>
      </w:r>
    </w:p>
    <w:p w14:paraId="569E0630">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依托邻近物业公司的指导帮扶与社区共管，提供清扫保洁、绿化养护、公共部位日常维修等基本保障服务，为社区居民提供了良好的宜居环境。</w:t>
      </w:r>
    </w:p>
    <w:bookmarkEnd w:id="101"/>
    <w:p w14:paraId="0F96CFD7">
      <w:pPr>
        <w:snapToGrid w:val="0"/>
        <w:spacing w:line="500" w:lineRule="exact"/>
        <w:ind w:firstLine="425" w:firstLineChars="152"/>
        <w:rPr>
          <w:rFonts w:ascii="Times New Roman" w:hAnsi="Times New Roman" w:eastAsia="仿宋" w:cs="Times New Roman"/>
          <w:bCs/>
          <w:sz w:val="28"/>
          <w:szCs w:val="28"/>
        </w:rPr>
      </w:pPr>
      <w:bookmarkStart w:id="119" w:name="_Toc514839502"/>
      <w:bookmarkStart w:id="120" w:name="_Toc490574999"/>
      <w:bookmarkStart w:id="121" w:name="_Toc18387"/>
      <w:bookmarkStart w:id="122" w:name="_Toc17932"/>
      <w:r>
        <w:rPr>
          <w:rFonts w:ascii="Times New Roman" w:hAnsi="Times New Roman" w:eastAsia="仿宋" w:cs="Times New Roman"/>
          <w:bCs/>
          <w:sz w:val="28"/>
          <w:szCs w:val="28"/>
        </w:rPr>
        <w:t>3.</w:t>
      </w:r>
      <w:r>
        <w:rPr>
          <w:rFonts w:ascii="Times New Roman" w:hAnsi="仿宋" w:eastAsia="仿宋" w:cs="Times New Roman"/>
          <w:bCs/>
          <w:sz w:val="28"/>
          <w:szCs w:val="28"/>
        </w:rPr>
        <w:t>可持续发展影响（评价得分</w:t>
      </w:r>
      <w:r>
        <w:rPr>
          <w:rFonts w:ascii="Times New Roman" w:hAnsi="Times New Roman" w:eastAsia="仿宋" w:cs="Times New Roman"/>
          <w:bCs/>
          <w:sz w:val="28"/>
          <w:szCs w:val="28"/>
        </w:rPr>
        <w:t>10</w:t>
      </w:r>
      <w:r>
        <w:rPr>
          <w:rFonts w:ascii="Times New Roman" w:hAnsi="仿宋" w:eastAsia="仿宋" w:cs="Times New Roman"/>
          <w:bCs/>
          <w:sz w:val="28"/>
          <w:szCs w:val="28"/>
        </w:rPr>
        <w:t>分）</w:t>
      </w:r>
      <w:bookmarkEnd w:id="119"/>
    </w:p>
    <w:p w14:paraId="0B9DC468">
      <w:pPr>
        <w:snapToGrid w:val="0"/>
        <w:spacing w:line="500" w:lineRule="exact"/>
        <w:ind w:firstLine="560" w:firstLineChars="200"/>
        <w:rPr>
          <w:rFonts w:ascii="Times New Roman" w:hAnsi="仿宋" w:eastAsia="仿宋" w:cs="Times New Roman"/>
          <w:bCs/>
          <w:sz w:val="28"/>
          <w:szCs w:val="28"/>
        </w:rPr>
      </w:pPr>
      <w:r>
        <w:rPr>
          <w:rFonts w:ascii="Times New Roman" w:hAnsi="仿宋" w:eastAsia="仿宋" w:cs="Times New Roman"/>
          <w:bCs/>
          <w:sz w:val="28"/>
          <w:szCs w:val="28"/>
        </w:rPr>
        <w:t>评价得分</w:t>
      </w:r>
      <w:r>
        <w:rPr>
          <w:rFonts w:ascii="Times New Roman" w:hAnsi="Times New Roman" w:eastAsia="仿宋" w:cs="Times New Roman"/>
          <w:bCs/>
          <w:sz w:val="28"/>
          <w:szCs w:val="28"/>
        </w:rPr>
        <w:t>10</w:t>
      </w:r>
      <w:r>
        <w:rPr>
          <w:rFonts w:ascii="Times New Roman" w:hAnsi="仿宋" w:eastAsia="仿宋" w:cs="Times New Roman"/>
          <w:bCs/>
          <w:sz w:val="28"/>
          <w:szCs w:val="28"/>
        </w:rPr>
        <w:t>分。六角亭街办事处通过完善内部治理结构、规范部门管理职能和人员岗位职责，营造良好的工作环境，规范使用党建经费，有效地保证了党建各项工作正常开展，项目可持续性较强。</w:t>
      </w:r>
    </w:p>
    <w:p w14:paraId="00292068">
      <w:pPr>
        <w:snapToGrid w:val="0"/>
        <w:spacing w:line="500" w:lineRule="exact"/>
        <w:ind w:firstLine="560" w:firstLineChars="200"/>
        <w:rPr>
          <w:rFonts w:ascii="Times New Roman" w:hAnsi="仿宋" w:eastAsia="仿宋" w:cs="Times New Roman"/>
          <w:bCs/>
          <w:sz w:val="28"/>
          <w:szCs w:val="28"/>
        </w:rPr>
      </w:pPr>
    </w:p>
    <w:p w14:paraId="2BA5E236">
      <w:pPr>
        <w:pStyle w:val="2"/>
        <w:spacing w:line="500" w:lineRule="exact"/>
        <w:ind w:left="420" w:leftChars="200"/>
        <w:rPr>
          <w:rFonts w:ascii="Times New Roman" w:hAnsi="Times New Roman" w:eastAsia="仿宋" w:cs="Times New Roman"/>
        </w:rPr>
      </w:pPr>
      <w:r>
        <w:rPr>
          <w:rFonts w:ascii="Times New Roman" w:hAnsi="仿宋" w:eastAsia="仿宋" w:cs="Times New Roman"/>
        </w:rPr>
        <w:t>四、评价结论</w:t>
      </w:r>
      <w:bookmarkEnd w:id="102"/>
      <w:bookmarkEnd w:id="103"/>
      <w:bookmarkEnd w:id="104"/>
      <w:bookmarkEnd w:id="105"/>
      <w:bookmarkEnd w:id="106"/>
      <w:bookmarkEnd w:id="120"/>
      <w:bookmarkEnd w:id="121"/>
      <w:bookmarkEnd w:id="122"/>
      <w:bookmarkStart w:id="123" w:name="_Toc361302039"/>
      <w:bookmarkStart w:id="124" w:name="_Toc361304702"/>
    </w:p>
    <w:bookmarkEnd w:id="123"/>
    <w:bookmarkEnd w:id="124"/>
    <w:p w14:paraId="407B80BA">
      <w:pPr>
        <w:pStyle w:val="3"/>
        <w:spacing w:line="500" w:lineRule="exact"/>
        <w:ind w:left="482"/>
        <w:rPr>
          <w:rFonts w:ascii="Times New Roman" w:hAnsi="Times New Roman" w:eastAsia="仿宋" w:cs="Times New Roman"/>
          <w:color w:val="000000"/>
          <w:sz w:val="28"/>
          <w:szCs w:val="28"/>
        </w:rPr>
      </w:pPr>
      <w:bookmarkStart w:id="125" w:name="_Toc514839505"/>
      <w:bookmarkStart w:id="126" w:name="_Toc3299"/>
      <w:r>
        <w:rPr>
          <w:rFonts w:ascii="Times New Roman" w:hAnsi="仿宋" w:eastAsia="仿宋" w:cs="Times New Roman"/>
          <w:sz w:val="28"/>
          <w:szCs w:val="28"/>
        </w:rPr>
        <w:t>（一）综合</w:t>
      </w:r>
      <w:bookmarkEnd w:id="125"/>
      <w:r>
        <w:rPr>
          <w:rFonts w:ascii="Times New Roman" w:hAnsi="仿宋" w:eastAsia="仿宋" w:cs="Times New Roman"/>
          <w:sz w:val="28"/>
          <w:szCs w:val="28"/>
        </w:rPr>
        <w:t>评价结论</w:t>
      </w:r>
    </w:p>
    <w:p w14:paraId="04F3BE62">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预算执行情况准则分值</w:t>
      </w:r>
      <w:r>
        <w:rPr>
          <w:rFonts w:ascii="Times New Roman" w:hAnsi="Times New Roman" w:eastAsia="仿宋" w:cs="Times New Roman"/>
          <w:color w:val="000000"/>
          <w:sz w:val="28"/>
          <w:szCs w:val="28"/>
        </w:rPr>
        <w:t>20</w:t>
      </w:r>
      <w:r>
        <w:rPr>
          <w:rFonts w:ascii="Times New Roman" w:hAnsi="仿宋" w:eastAsia="仿宋" w:cs="Times New Roman"/>
          <w:color w:val="000000"/>
          <w:sz w:val="28"/>
          <w:szCs w:val="28"/>
        </w:rPr>
        <w:t>分，</w:t>
      </w:r>
      <w:r>
        <w:rPr>
          <w:rFonts w:ascii="Times New Roman" w:hAnsi="仿宋" w:eastAsia="仿宋" w:cs="Times New Roman"/>
          <w:sz w:val="28"/>
          <w:szCs w:val="28"/>
        </w:rPr>
        <w:t>绩效指标明确性和财务管理方面扣</w:t>
      </w:r>
      <w:r>
        <w:rPr>
          <w:rFonts w:ascii="Times New Roman" w:hAnsi="Times New Roman" w:eastAsia="仿宋" w:cs="Times New Roman"/>
          <w:sz w:val="28"/>
          <w:szCs w:val="28"/>
        </w:rPr>
        <w:t>4</w:t>
      </w:r>
      <w:r>
        <w:rPr>
          <w:rFonts w:ascii="Times New Roman" w:hAnsi="仿宋" w:eastAsia="仿宋" w:cs="Times New Roman"/>
          <w:sz w:val="28"/>
          <w:szCs w:val="28"/>
        </w:rPr>
        <w:t>分，</w:t>
      </w:r>
      <w:r>
        <w:rPr>
          <w:rFonts w:ascii="Times New Roman" w:hAnsi="仿宋" w:eastAsia="仿宋" w:cs="Times New Roman"/>
          <w:color w:val="000000"/>
          <w:sz w:val="28"/>
          <w:szCs w:val="28"/>
        </w:rPr>
        <w:t>评价得分</w:t>
      </w:r>
      <w:r>
        <w:rPr>
          <w:rFonts w:ascii="Times New Roman" w:hAnsi="Times New Roman" w:eastAsia="仿宋" w:cs="Times New Roman"/>
          <w:color w:val="000000"/>
          <w:sz w:val="28"/>
          <w:szCs w:val="28"/>
        </w:rPr>
        <w:t>16</w:t>
      </w:r>
      <w:r>
        <w:rPr>
          <w:rFonts w:ascii="Times New Roman" w:hAnsi="仿宋" w:eastAsia="仿宋" w:cs="Times New Roman"/>
          <w:color w:val="000000"/>
          <w:sz w:val="28"/>
          <w:szCs w:val="28"/>
        </w:rPr>
        <w:t>分。</w:t>
      </w:r>
    </w:p>
    <w:p w14:paraId="53934C7E">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项目产出指标准则分值</w:t>
      </w:r>
      <w:r>
        <w:rPr>
          <w:rFonts w:ascii="Times New Roman" w:hAnsi="Times New Roman" w:eastAsia="仿宋" w:cs="Times New Roman"/>
          <w:color w:val="000000"/>
          <w:sz w:val="28"/>
          <w:szCs w:val="28"/>
        </w:rPr>
        <w:t>40</w:t>
      </w:r>
      <w:r>
        <w:rPr>
          <w:rFonts w:ascii="Times New Roman" w:hAnsi="仿宋" w:eastAsia="仿宋" w:cs="Times New Roman"/>
          <w:color w:val="000000"/>
          <w:sz w:val="28"/>
          <w:szCs w:val="28"/>
        </w:rPr>
        <w:t>分，主要产出指标均已完成，个别指标完成率未达</w:t>
      </w:r>
      <w:r>
        <w:rPr>
          <w:rFonts w:ascii="Times New Roman" w:hAnsi="Times New Roman" w:eastAsia="仿宋" w:cs="Times New Roman"/>
          <w:color w:val="000000"/>
          <w:sz w:val="28"/>
          <w:szCs w:val="28"/>
        </w:rPr>
        <w:t>100.00%</w:t>
      </w:r>
      <w:r>
        <w:rPr>
          <w:rFonts w:ascii="Times New Roman" w:hAnsi="仿宋" w:eastAsia="仿宋" w:cs="Times New Roman"/>
          <w:color w:val="000000"/>
          <w:sz w:val="28"/>
          <w:szCs w:val="28"/>
        </w:rPr>
        <w:t>，扣</w:t>
      </w:r>
      <w:r>
        <w:rPr>
          <w:rFonts w:ascii="Times New Roman" w:hAnsi="Times New Roman" w:eastAsia="仿宋" w:cs="Times New Roman"/>
          <w:color w:val="000000"/>
          <w:sz w:val="28"/>
          <w:szCs w:val="28"/>
        </w:rPr>
        <w:t>5</w:t>
      </w:r>
      <w:r>
        <w:rPr>
          <w:rFonts w:ascii="Times New Roman" w:hAnsi="仿宋" w:eastAsia="仿宋" w:cs="Times New Roman"/>
          <w:color w:val="000000"/>
          <w:sz w:val="28"/>
          <w:szCs w:val="28"/>
        </w:rPr>
        <w:t>分，评价得分</w:t>
      </w:r>
      <w:r>
        <w:rPr>
          <w:rFonts w:ascii="Times New Roman" w:hAnsi="Times New Roman" w:eastAsia="仿宋" w:cs="Times New Roman"/>
          <w:color w:val="000000"/>
          <w:sz w:val="28"/>
          <w:szCs w:val="28"/>
        </w:rPr>
        <w:t>35</w:t>
      </w:r>
      <w:r>
        <w:rPr>
          <w:rFonts w:ascii="Times New Roman" w:hAnsi="仿宋" w:eastAsia="仿宋" w:cs="Times New Roman"/>
          <w:color w:val="000000"/>
          <w:sz w:val="28"/>
          <w:szCs w:val="28"/>
        </w:rPr>
        <w:t>分。</w:t>
      </w:r>
    </w:p>
    <w:p w14:paraId="6C2F49AC">
      <w:pPr>
        <w:snapToGrid w:val="0"/>
        <w:spacing w:line="500" w:lineRule="exact"/>
        <w:ind w:firstLine="48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项目效果指标准则分值</w:t>
      </w:r>
      <w:r>
        <w:rPr>
          <w:rFonts w:ascii="Times New Roman" w:hAnsi="Times New Roman" w:eastAsia="仿宋" w:cs="Times New Roman"/>
          <w:color w:val="000000"/>
          <w:sz w:val="28"/>
          <w:szCs w:val="28"/>
        </w:rPr>
        <w:t>40</w:t>
      </w:r>
      <w:r>
        <w:rPr>
          <w:rFonts w:ascii="Times New Roman" w:hAnsi="仿宋" w:eastAsia="仿宋" w:cs="Times New Roman"/>
          <w:color w:val="000000"/>
          <w:sz w:val="28"/>
          <w:szCs w:val="28"/>
        </w:rPr>
        <w:t>分，主要效果指标均已完成，评价得分</w:t>
      </w:r>
      <w:r>
        <w:rPr>
          <w:rFonts w:ascii="Times New Roman" w:hAnsi="Times New Roman" w:eastAsia="仿宋" w:cs="Times New Roman"/>
          <w:color w:val="000000"/>
          <w:sz w:val="28"/>
          <w:szCs w:val="28"/>
        </w:rPr>
        <w:t>40</w:t>
      </w:r>
      <w:r>
        <w:rPr>
          <w:rFonts w:ascii="Times New Roman" w:hAnsi="仿宋" w:eastAsia="仿宋" w:cs="Times New Roman"/>
          <w:color w:val="000000"/>
          <w:sz w:val="28"/>
          <w:szCs w:val="28"/>
        </w:rPr>
        <w:t>分。</w:t>
      </w:r>
    </w:p>
    <w:p w14:paraId="20DCB512">
      <w:pPr>
        <w:snapToGrid w:val="0"/>
        <w:spacing w:line="500" w:lineRule="exact"/>
        <w:ind w:firstLine="48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项目的综合评分结果</w:t>
      </w:r>
      <w:r>
        <w:rPr>
          <w:rFonts w:ascii="Times New Roman" w:hAnsi="Times New Roman" w:eastAsia="仿宋" w:cs="Times New Roman"/>
          <w:color w:val="000000"/>
          <w:sz w:val="28"/>
          <w:szCs w:val="28"/>
        </w:rPr>
        <w:t>91</w:t>
      </w:r>
      <w:r>
        <w:rPr>
          <w:rFonts w:ascii="Times New Roman" w:hAnsi="仿宋" w:eastAsia="仿宋" w:cs="Times New Roman"/>
          <w:color w:val="000000"/>
          <w:sz w:val="28"/>
          <w:szCs w:val="28"/>
        </w:rPr>
        <w:t>分，对应的评价等级为优。</w:t>
      </w:r>
    </w:p>
    <w:p w14:paraId="38A16048">
      <w:pPr>
        <w:pStyle w:val="3"/>
        <w:spacing w:line="500" w:lineRule="exact"/>
        <w:ind w:left="482"/>
        <w:rPr>
          <w:rFonts w:ascii="Times New Roman" w:hAnsi="Times New Roman" w:eastAsia="仿宋" w:cs="Times New Roman"/>
          <w:sz w:val="28"/>
          <w:szCs w:val="28"/>
        </w:rPr>
      </w:pPr>
      <w:r>
        <w:rPr>
          <w:rFonts w:ascii="Times New Roman" w:hAnsi="仿宋" w:eastAsia="仿宋" w:cs="Times New Roman"/>
          <w:sz w:val="28"/>
          <w:szCs w:val="28"/>
        </w:rPr>
        <w:t>（二）综合评分结果</w:t>
      </w:r>
    </w:p>
    <w:p w14:paraId="41C0D14E">
      <w:pPr>
        <w:snapToGrid w:val="0"/>
        <w:spacing w:line="500" w:lineRule="exact"/>
        <w:ind w:firstLine="480"/>
        <w:jc w:val="left"/>
        <w:rPr>
          <w:rFonts w:ascii="Times New Roman" w:hAnsi="Times New Roman" w:eastAsia="仿宋" w:cs="Times New Roman"/>
          <w:sz w:val="28"/>
          <w:szCs w:val="28"/>
        </w:rPr>
      </w:pPr>
      <w:r>
        <w:rPr>
          <w:rFonts w:ascii="Times New Roman" w:hAnsi="Times New Roman" w:eastAsia="仿宋" w:cs="Times New Roman"/>
          <w:color w:val="000000"/>
          <w:sz w:val="28"/>
          <w:szCs w:val="28"/>
        </w:rPr>
        <w:t>2018</w:t>
      </w:r>
      <w:r>
        <w:rPr>
          <w:rFonts w:ascii="Times New Roman" w:hAnsi="仿宋" w:eastAsia="仿宋" w:cs="Times New Roman"/>
          <w:color w:val="000000"/>
          <w:sz w:val="28"/>
          <w:szCs w:val="28"/>
        </w:rPr>
        <w:t>年度</w:t>
      </w:r>
      <w:r>
        <w:rPr>
          <w:rFonts w:ascii="Times New Roman" w:hAnsi="仿宋" w:eastAsia="仿宋" w:cs="Times New Roman"/>
          <w:sz w:val="28"/>
          <w:szCs w:val="28"/>
        </w:rPr>
        <w:t>基层党建综合事务经费项目</w:t>
      </w:r>
      <w:r>
        <w:rPr>
          <w:rFonts w:ascii="Times New Roman" w:hAnsi="仿宋" w:eastAsia="仿宋" w:cs="Times New Roman"/>
          <w:color w:val="000000"/>
          <w:sz w:val="28"/>
          <w:szCs w:val="28"/>
        </w:rPr>
        <w:t>资金使用较规范，项目工作按计划完成，年度绩效目标基本完成，社会效益良好，项目可持续性较强。但项目的基础管理工作，包括预算编制、项目管理制度、项目产出等需要加强完善。</w:t>
      </w:r>
    </w:p>
    <w:p w14:paraId="67628635">
      <w:pPr>
        <w:pStyle w:val="2"/>
        <w:spacing w:line="440" w:lineRule="exact"/>
        <w:ind w:left="420" w:leftChars="200"/>
        <w:rPr>
          <w:rFonts w:ascii="Times New Roman" w:hAnsi="Times New Roman" w:eastAsia="仿宋" w:cs="Times New Roman"/>
        </w:rPr>
      </w:pPr>
    </w:p>
    <w:p w14:paraId="28A201C4">
      <w:pPr>
        <w:pStyle w:val="2"/>
        <w:spacing w:line="500" w:lineRule="exact"/>
        <w:ind w:left="420" w:leftChars="200"/>
        <w:rPr>
          <w:rFonts w:ascii="Times New Roman" w:hAnsi="Times New Roman" w:eastAsia="仿宋" w:cs="Times New Roman"/>
          <w:szCs w:val="28"/>
        </w:rPr>
      </w:pPr>
      <w:r>
        <w:rPr>
          <w:rFonts w:ascii="Times New Roman" w:hAnsi="仿宋" w:eastAsia="仿宋" w:cs="Times New Roman"/>
          <w:szCs w:val="28"/>
        </w:rPr>
        <w:t>五、主要经验及做法、存在的问题和建议</w:t>
      </w:r>
      <w:bookmarkEnd w:id="73"/>
      <w:bookmarkEnd w:id="126"/>
    </w:p>
    <w:p w14:paraId="3E646CA5">
      <w:pPr>
        <w:pStyle w:val="3"/>
        <w:spacing w:line="500" w:lineRule="exact"/>
        <w:ind w:left="420" w:leftChars="200"/>
        <w:rPr>
          <w:rFonts w:ascii="Times New Roman" w:hAnsi="Times New Roman" w:eastAsia="仿宋" w:cs="Times New Roman"/>
          <w:sz w:val="28"/>
          <w:szCs w:val="28"/>
        </w:rPr>
      </w:pPr>
      <w:bookmarkStart w:id="127" w:name="_Toc406666381"/>
      <w:bookmarkStart w:id="128" w:name="_Toc387957830"/>
      <w:bookmarkStart w:id="129" w:name="_Toc30626"/>
      <w:bookmarkStart w:id="130" w:name="_Toc27928"/>
      <w:bookmarkStart w:id="131" w:name="_Toc406668055"/>
      <w:bookmarkStart w:id="132" w:name="_Toc361304706"/>
      <w:r>
        <w:rPr>
          <w:rFonts w:ascii="Times New Roman" w:hAnsi="仿宋" w:eastAsia="仿宋" w:cs="Times New Roman"/>
          <w:sz w:val="28"/>
          <w:szCs w:val="28"/>
        </w:rPr>
        <w:t>（一）主要经验及做法</w:t>
      </w:r>
      <w:bookmarkEnd w:id="127"/>
      <w:bookmarkEnd w:id="128"/>
      <w:bookmarkEnd w:id="129"/>
      <w:bookmarkEnd w:id="130"/>
      <w:bookmarkEnd w:id="131"/>
      <w:bookmarkEnd w:id="132"/>
    </w:p>
    <w:p w14:paraId="43AA7328">
      <w:pPr>
        <w:spacing w:line="500" w:lineRule="exact"/>
        <w:ind w:firstLine="426"/>
        <w:rPr>
          <w:rFonts w:ascii="Times New Roman" w:hAnsi="Times New Roman" w:eastAsia="仿宋" w:cs="Times New Roman"/>
          <w:color w:val="000000"/>
          <w:sz w:val="28"/>
          <w:szCs w:val="28"/>
        </w:rPr>
      </w:pPr>
      <w:bookmarkStart w:id="133" w:name="_Toc16696"/>
      <w:bookmarkStart w:id="134" w:name="_Toc406666382"/>
      <w:bookmarkStart w:id="135" w:name="_Toc406668056"/>
      <w:bookmarkStart w:id="136" w:name="_Toc387957833"/>
      <w:r>
        <w:rPr>
          <w:rFonts w:ascii="Times New Roman" w:hAnsi="Times New Roman" w:eastAsia="仿宋" w:cs="Times New Roman"/>
          <w:color w:val="000000"/>
          <w:sz w:val="28"/>
          <w:szCs w:val="28"/>
        </w:rPr>
        <w:t>1.</w:t>
      </w:r>
      <w:r>
        <w:rPr>
          <w:rFonts w:ascii="Times New Roman" w:hAnsi="仿宋" w:eastAsia="仿宋" w:cs="Times New Roman"/>
          <w:color w:val="000000"/>
          <w:sz w:val="28"/>
          <w:szCs w:val="28"/>
        </w:rPr>
        <w:t>加强领导，认真组织。</w:t>
      </w:r>
    </w:p>
    <w:p w14:paraId="1818B0E1">
      <w:pPr>
        <w:adjustRightInd w:val="0"/>
        <w:snapToGrid w:val="0"/>
        <w:spacing w:line="500" w:lineRule="exact"/>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严肃组织生活。坚持全覆盖、常态化、重创新、求实效，以</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两学一做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为基本内容，以</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三会一课</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为基本制度，以党支部为基本单位，推动</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两学一做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学习教育融入日常、抓在经常。</w:t>
      </w:r>
    </w:p>
    <w:p w14:paraId="4581506C">
      <w:pPr>
        <w:adjustRightInd w:val="0"/>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2.</w:t>
      </w:r>
      <w:r>
        <w:rPr>
          <w:rFonts w:ascii="Times New Roman" w:hAnsi="仿宋" w:eastAsia="仿宋" w:cs="Times New Roman"/>
          <w:color w:val="000000"/>
          <w:sz w:val="28"/>
          <w:szCs w:val="28"/>
        </w:rPr>
        <w:t>大力宣传，真抓实干。</w:t>
      </w:r>
    </w:p>
    <w:p w14:paraId="41840ACA">
      <w:pPr>
        <w:adjustRightInd w:val="0"/>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color w:val="000000"/>
          <w:sz w:val="28"/>
          <w:szCs w:val="28"/>
        </w:rPr>
        <w:t>推进</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红色物业</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，创新基层社会治理。</w:t>
      </w:r>
      <w:r>
        <w:rPr>
          <w:rFonts w:ascii="Times New Roman" w:hAnsi="仿宋" w:eastAsia="仿宋" w:cs="Times New Roman"/>
          <w:sz w:val="28"/>
          <w:szCs w:val="28"/>
        </w:rPr>
        <w:t>按照区委组织部相关文件精神和工作要求，始终把握党建引领，不断满足居民服务新需求，通过深化</w:t>
      </w:r>
      <w:r>
        <w:rPr>
          <w:rFonts w:ascii="Times New Roman" w:hAnsi="Times New Roman" w:eastAsia="仿宋" w:cs="Times New Roman"/>
          <w:sz w:val="28"/>
          <w:szCs w:val="28"/>
        </w:rPr>
        <w:t>“</w:t>
      </w:r>
      <w:r>
        <w:rPr>
          <w:rFonts w:ascii="Times New Roman" w:hAnsi="仿宋" w:eastAsia="仿宋" w:cs="Times New Roman"/>
          <w:sz w:val="28"/>
          <w:szCs w:val="28"/>
        </w:rPr>
        <w:t>三方联动</w:t>
      </w:r>
      <w:r>
        <w:rPr>
          <w:rFonts w:ascii="Times New Roman" w:hAnsi="Times New Roman" w:eastAsia="仿宋" w:cs="Times New Roman"/>
          <w:sz w:val="28"/>
          <w:szCs w:val="28"/>
        </w:rPr>
        <w:t>”</w:t>
      </w:r>
      <w:r>
        <w:rPr>
          <w:rFonts w:ascii="Times New Roman" w:hAnsi="仿宋" w:eastAsia="仿宋" w:cs="Times New Roman"/>
          <w:sz w:val="28"/>
          <w:szCs w:val="28"/>
        </w:rPr>
        <w:t>机制，拓展市场化物业管理，稳步推进</w:t>
      </w:r>
      <w:r>
        <w:rPr>
          <w:rFonts w:ascii="Times New Roman" w:hAnsi="Times New Roman" w:eastAsia="仿宋" w:cs="Times New Roman"/>
          <w:sz w:val="28"/>
          <w:szCs w:val="28"/>
        </w:rPr>
        <w:t>“</w:t>
      </w:r>
      <w:r>
        <w:rPr>
          <w:rFonts w:ascii="Times New Roman" w:hAnsi="仿宋" w:eastAsia="仿宋" w:cs="Times New Roman"/>
          <w:sz w:val="28"/>
          <w:szCs w:val="28"/>
        </w:rPr>
        <w:t>红色物业</w:t>
      </w:r>
      <w:r>
        <w:rPr>
          <w:rFonts w:ascii="Times New Roman" w:hAnsi="Times New Roman" w:eastAsia="仿宋" w:cs="Times New Roman"/>
          <w:sz w:val="28"/>
          <w:szCs w:val="28"/>
        </w:rPr>
        <w:t>”</w:t>
      </w:r>
      <w:r>
        <w:rPr>
          <w:rFonts w:ascii="Times New Roman" w:hAnsi="仿宋" w:eastAsia="仿宋" w:cs="Times New Roman"/>
          <w:sz w:val="28"/>
          <w:szCs w:val="28"/>
        </w:rPr>
        <w:t>。</w:t>
      </w:r>
    </w:p>
    <w:p w14:paraId="120A02FE">
      <w:pPr>
        <w:adjustRightInd w:val="0"/>
        <w:snapToGrid w:val="0"/>
        <w:spacing w:line="500" w:lineRule="exact"/>
        <w:ind w:firstLine="560" w:firstLineChars="200"/>
        <w:rPr>
          <w:rFonts w:ascii="Times New Roman" w:hAnsi="Times New Roman" w:eastAsia="仿宋" w:cs="Times New Roman"/>
          <w:sz w:val="28"/>
          <w:szCs w:val="28"/>
        </w:rPr>
      </w:pPr>
      <w:r>
        <w:rPr>
          <w:rFonts w:ascii="Times New Roman" w:hAnsi="仿宋" w:eastAsia="仿宋" w:cs="Times New Roman"/>
          <w:sz w:val="28"/>
          <w:szCs w:val="28"/>
        </w:rPr>
        <w:t>培育</w:t>
      </w:r>
      <w:r>
        <w:rPr>
          <w:rFonts w:ascii="Times New Roman" w:hAnsi="Times New Roman" w:eastAsia="仿宋" w:cs="Times New Roman"/>
          <w:sz w:val="28"/>
          <w:szCs w:val="28"/>
        </w:rPr>
        <w:t>“</w:t>
      </w:r>
      <w:r>
        <w:rPr>
          <w:rFonts w:ascii="Times New Roman" w:hAnsi="仿宋" w:eastAsia="仿宋" w:cs="Times New Roman"/>
          <w:sz w:val="28"/>
          <w:szCs w:val="28"/>
        </w:rPr>
        <w:t>红色头雁</w:t>
      </w:r>
      <w:r>
        <w:rPr>
          <w:rFonts w:ascii="Times New Roman" w:hAnsi="Times New Roman" w:eastAsia="仿宋" w:cs="Times New Roman"/>
          <w:sz w:val="28"/>
          <w:szCs w:val="28"/>
        </w:rPr>
        <w:t>”</w:t>
      </w:r>
      <w:r>
        <w:rPr>
          <w:rFonts w:ascii="Times New Roman" w:hAnsi="仿宋" w:eastAsia="仿宋" w:cs="Times New Roman"/>
          <w:sz w:val="28"/>
          <w:szCs w:val="28"/>
        </w:rPr>
        <w:t>，发挥示范引领作用。实施基层党组织书记能力提升培训工程。总结第一届六角亭街干部培训班经验，联合长江大学举办</w:t>
      </w:r>
      <w:r>
        <w:rPr>
          <w:rFonts w:ascii="Times New Roman" w:hAnsi="Times New Roman" w:eastAsia="仿宋" w:cs="Times New Roman"/>
          <w:sz w:val="28"/>
          <w:szCs w:val="28"/>
        </w:rPr>
        <w:t>“</w:t>
      </w:r>
      <w:r>
        <w:rPr>
          <w:rFonts w:ascii="Times New Roman" w:hAnsi="仿宋" w:eastAsia="仿宋" w:cs="Times New Roman"/>
          <w:sz w:val="28"/>
          <w:szCs w:val="28"/>
        </w:rPr>
        <w:t>推进</w:t>
      </w:r>
      <w:r>
        <w:rPr>
          <w:rFonts w:ascii="Times New Roman" w:hAnsi="Times New Roman" w:eastAsia="仿宋" w:cs="Times New Roman"/>
          <w:sz w:val="28"/>
          <w:szCs w:val="28"/>
        </w:rPr>
        <w:t>“</w:t>
      </w:r>
      <w:r>
        <w:rPr>
          <w:rFonts w:ascii="Times New Roman" w:hAnsi="仿宋" w:eastAsia="仿宋" w:cs="Times New Roman"/>
          <w:sz w:val="28"/>
          <w:szCs w:val="28"/>
        </w:rPr>
        <w:t>红色引擎工程　创新基层社会治理</w:t>
      </w:r>
      <w:r>
        <w:rPr>
          <w:rFonts w:ascii="Times New Roman" w:hAnsi="Times New Roman" w:eastAsia="仿宋" w:cs="Times New Roman"/>
          <w:sz w:val="28"/>
          <w:szCs w:val="28"/>
        </w:rPr>
        <w:t>”</w:t>
      </w:r>
      <w:r>
        <w:rPr>
          <w:rFonts w:ascii="Times New Roman" w:hAnsi="仿宋" w:eastAsia="仿宋" w:cs="Times New Roman"/>
          <w:sz w:val="28"/>
          <w:szCs w:val="28"/>
        </w:rPr>
        <w:t>培训班，对</w:t>
      </w:r>
      <w:r>
        <w:rPr>
          <w:rFonts w:ascii="Times New Roman" w:hAnsi="Times New Roman" w:eastAsia="仿宋" w:cs="Times New Roman"/>
          <w:sz w:val="28"/>
          <w:szCs w:val="28"/>
        </w:rPr>
        <w:t>51</w:t>
      </w:r>
      <w:r>
        <w:rPr>
          <w:rFonts w:ascii="Times New Roman" w:hAnsi="仿宋" w:eastAsia="仿宋" w:cs="Times New Roman"/>
          <w:sz w:val="28"/>
          <w:szCs w:val="28"/>
        </w:rPr>
        <w:t>名街道和社区党员干部进行集中培训，</w:t>
      </w:r>
      <w:r>
        <w:rPr>
          <w:rFonts w:ascii="Times New Roman" w:hAnsi="仿宋" w:eastAsia="仿宋" w:cs="Times New Roman"/>
          <w:sz w:val="28"/>
          <w:szCs w:val="28"/>
          <w:highlight w:val="none"/>
        </w:rPr>
        <w:t>提高基层党务工作者素质。</w:t>
      </w:r>
    </w:p>
    <w:p w14:paraId="491CCA1B">
      <w:pPr>
        <w:adjustRightInd w:val="0"/>
        <w:snapToGrid w:val="0"/>
        <w:spacing w:line="500" w:lineRule="exact"/>
        <w:ind w:firstLine="426"/>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3.</w:t>
      </w:r>
      <w:r>
        <w:rPr>
          <w:rFonts w:ascii="Times New Roman" w:hAnsi="仿宋" w:eastAsia="仿宋" w:cs="Times New Roman"/>
          <w:color w:val="000000"/>
          <w:sz w:val="28"/>
          <w:szCs w:val="28"/>
        </w:rPr>
        <w:t>健全各项制度建设</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加强队伍建设。选优配强干部队伍。认真贯彻执行《干部选拔任用条例》等干部工作政策法规，严把动议提名、考察考核、程序步骤等关键环节。</w:t>
      </w:r>
    </w:p>
    <w:p w14:paraId="101B7C26">
      <w:pPr>
        <w:adjustRightInd w:val="0"/>
        <w:snapToGrid w:val="0"/>
        <w:spacing w:line="500" w:lineRule="exact"/>
        <w:ind w:firstLine="560" w:firstLineChars="200"/>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持续改进干部作风。以</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带头转变作风，带头拼搏赶超</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为主题，按照省委、市委要求和区第十二次党代会部署，坚持以党风带政风，切实推动机关作风建设常态化、长效化。</w:t>
      </w:r>
    </w:p>
    <w:bookmarkEnd w:id="133"/>
    <w:bookmarkEnd w:id="134"/>
    <w:bookmarkEnd w:id="135"/>
    <w:bookmarkEnd w:id="136"/>
    <w:p w14:paraId="69BA0993">
      <w:pPr>
        <w:snapToGrid w:val="0"/>
        <w:spacing w:line="500" w:lineRule="exact"/>
        <w:ind w:firstLine="562" w:firstLineChars="200"/>
        <w:rPr>
          <w:rFonts w:ascii="Times New Roman" w:hAnsi="Times New Roman" w:eastAsia="仿宋" w:cs="Times New Roman"/>
          <w:b/>
          <w:bCs/>
          <w:sz w:val="28"/>
          <w:szCs w:val="28"/>
        </w:rPr>
      </w:pPr>
      <w:bookmarkStart w:id="137" w:name="_Toc9981"/>
      <w:bookmarkStart w:id="138" w:name="_Toc387957834"/>
      <w:r>
        <w:rPr>
          <w:rFonts w:ascii="Times New Roman" w:hAnsi="仿宋" w:eastAsia="仿宋" w:cs="Times New Roman"/>
          <w:b/>
          <w:bCs/>
          <w:sz w:val="28"/>
          <w:szCs w:val="28"/>
        </w:rPr>
        <w:t>（二）存在的问题</w:t>
      </w:r>
    </w:p>
    <w:p w14:paraId="01B3BE20">
      <w:pPr>
        <w:snapToGrid w:val="0"/>
        <w:spacing w:line="500" w:lineRule="exact"/>
        <w:ind w:firstLine="425" w:firstLineChars="152"/>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1.</w:t>
      </w:r>
      <w:r>
        <w:rPr>
          <w:rFonts w:ascii="Times New Roman" w:hAnsi="仿宋" w:eastAsia="仿宋" w:cs="Times New Roman"/>
          <w:sz w:val="28"/>
          <w:szCs w:val="28"/>
        </w:rPr>
        <w:t>项目绩效目标不够细化，不够清晰，无对应的定量指标。</w:t>
      </w:r>
    </w:p>
    <w:p w14:paraId="365D2248">
      <w:pPr>
        <w:snapToGrid w:val="0"/>
        <w:spacing w:line="500" w:lineRule="exact"/>
        <w:ind w:firstLine="426"/>
        <w:rPr>
          <w:rFonts w:ascii="Times New Roman" w:hAnsi="Times New Roman" w:eastAsia="仿宋" w:cs="Times New Roman"/>
          <w:sz w:val="28"/>
          <w:szCs w:val="28"/>
        </w:rPr>
      </w:pPr>
      <w:r>
        <w:rPr>
          <w:rFonts w:ascii="Times New Roman" w:hAnsi="Times New Roman" w:eastAsia="仿宋" w:cs="Times New Roman"/>
          <w:color w:val="000000"/>
          <w:sz w:val="28"/>
          <w:szCs w:val="28"/>
        </w:rPr>
        <w:t>2.</w:t>
      </w:r>
      <w:r>
        <w:rPr>
          <w:rFonts w:ascii="Times New Roman" w:hAnsi="仿宋" w:eastAsia="仿宋" w:cs="Times New Roman"/>
          <w:bCs/>
          <w:sz w:val="28"/>
          <w:szCs w:val="28"/>
        </w:rPr>
        <w:t>项目资金管理不严格，存在项目之间调剂使用现象。</w:t>
      </w:r>
    </w:p>
    <w:p w14:paraId="21EF8DDB">
      <w:pPr>
        <w:snapToGrid w:val="0"/>
        <w:spacing w:line="500" w:lineRule="exact"/>
        <w:ind w:firstLine="562" w:firstLineChars="200"/>
        <w:rPr>
          <w:rFonts w:ascii="Times New Roman" w:hAnsi="Times New Roman" w:eastAsia="仿宋" w:cs="Times New Roman"/>
          <w:b/>
          <w:bCs/>
          <w:sz w:val="28"/>
          <w:szCs w:val="28"/>
        </w:rPr>
      </w:pPr>
      <w:r>
        <w:rPr>
          <w:rFonts w:ascii="Times New Roman" w:hAnsi="仿宋" w:eastAsia="仿宋" w:cs="Times New Roman"/>
          <w:b/>
          <w:bCs/>
          <w:sz w:val="28"/>
          <w:szCs w:val="28"/>
        </w:rPr>
        <w:t>（三）建议</w:t>
      </w:r>
    </w:p>
    <w:p w14:paraId="2084E1AA">
      <w:pPr>
        <w:snapToGrid w:val="0"/>
        <w:spacing w:line="500" w:lineRule="exact"/>
        <w:ind w:firstLine="426"/>
        <w:rPr>
          <w:rFonts w:ascii="Times New Roman" w:hAnsi="Times New Roman" w:eastAsia="仿宋" w:cs="Times New Roman"/>
          <w:sz w:val="28"/>
          <w:szCs w:val="28"/>
        </w:rPr>
      </w:pPr>
      <w:r>
        <w:rPr>
          <w:rFonts w:ascii="Times New Roman" w:hAnsi="Times New Roman" w:eastAsia="仿宋" w:cs="Times New Roman"/>
          <w:color w:val="000000"/>
          <w:sz w:val="28"/>
          <w:szCs w:val="28"/>
        </w:rPr>
        <w:t>1.</w:t>
      </w:r>
      <w:r>
        <w:rPr>
          <w:rFonts w:ascii="Times New Roman" w:hAnsi="仿宋" w:eastAsia="仿宋" w:cs="Times New Roman"/>
          <w:sz w:val="28"/>
          <w:szCs w:val="28"/>
        </w:rPr>
        <w:t>增强项目预算编制的针对性和科学性，参照以往年度经费的使用情况，结合本年度实际，合理编制项目预算，确定绩效目标；</w:t>
      </w:r>
    </w:p>
    <w:p w14:paraId="0067376D">
      <w:pPr>
        <w:snapToGrid w:val="0"/>
        <w:spacing w:line="500" w:lineRule="exact"/>
        <w:ind w:firstLine="426"/>
        <w:rPr>
          <w:rFonts w:ascii="Times New Roman" w:hAnsi="Times New Roman" w:eastAsia="仿宋" w:cs="Times New Roman"/>
          <w:highlight w:val="yellow"/>
        </w:rPr>
      </w:pPr>
      <w:r>
        <w:rPr>
          <w:rFonts w:ascii="Times New Roman" w:hAnsi="Times New Roman" w:eastAsia="仿宋" w:cs="Times New Roman"/>
          <w:color w:val="000000"/>
          <w:sz w:val="28"/>
          <w:szCs w:val="28"/>
        </w:rPr>
        <w:t>2.</w:t>
      </w:r>
      <w:r>
        <w:rPr>
          <w:rFonts w:ascii="Times New Roman" w:hAnsi="仿宋" w:eastAsia="仿宋" w:cs="Times New Roman"/>
          <w:sz w:val="28"/>
          <w:szCs w:val="28"/>
        </w:rPr>
        <w:t>根据项目绩效完成情况，结合实际，及时调整预算，并履行预算调整手续，提高预算资金使用效率和效益。</w:t>
      </w:r>
    </w:p>
    <w:p w14:paraId="33DA2899">
      <w:pPr>
        <w:snapToGrid w:val="0"/>
        <w:spacing w:line="440" w:lineRule="exact"/>
        <w:ind w:firstLine="420" w:firstLineChars="200"/>
        <w:rPr>
          <w:rFonts w:ascii="Times New Roman" w:hAnsi="Times New Roman" w:eastAsia="仿宋" w:cs="Times New Roman"/>
          <w:highlight w:val="yellow"/>
        </w:rPr>
      </w:pPr>
    </w:p>
    <w:bookmarkEnd w:id="137"/>
    <w:bookmarkEnd w:id="138"/>
    <w:p w14:paraId="1B6C1DA5">
      <w:pPr>
        <w:pStyle w:val="2"/>
        <w:spacing w:line="500" w:lineRule="exact"/>
        <w:ind w:left="420" w:leftChars="200"/>
        <w:rPr>
          <w:rFonts w:ascii="Times New Roman" w:hAnsi="Times New Roman" w:eastAsia="仿宋" w:cs="Times New Roman"/>
          <w:szCs w:val="28"/>
        </w:rPr>
      </w:pPr>
      <w:bookmarkStart w:id="139" w:name="_Toc27950"/>
      <w:bookmarkStart w:id="140" w:name="_Toc387957836"/>
      <w:bookmarkStart w:id="141" w:name="_Toc5673"/>
      <w:bookmarkStart w:id="142" w:name="_Toc406666387"/>
      <w:bookmarkStart w:id="143" w:name="_Toc406668061"/>
      <w:r>
        <w:rPr>
          <w:rFonts w:ascii="Times New Roman" w:hAnsi="仿宋" w:eastAsia="仿宋" w:cs="Times New Roman"/>
          <w:szCs w:val="28"/>
        </w:rPr>
        <w:t>六、其他说明</w:t>
      </w:r>
      <w:bookmarkEnd w:id="139"/>
      <w:r>
        <w:rPr>
          <w:rFonts w:ascii="Times New Roman" w:hAnsi="仿宋" w:eastAsia="仿宋" w:cs="Times New Roman"/>
          <w:szCs w:val="28"/>
        </w:rPr>
        <w:t>事项</w:t>
      </w:r>
    </w:p>
    <w:p w14:paraId="44C5B982">
      <w:pPr>
        <w:pStyle w:val="3"/>
        <w:spacing w:line="500" w:lineRule="exact"/>
        <w:ind w:firstLine="281" w:firstLineChars="100"/>
        <w:rPr>
          <w:rFonts w:ascii="Times New Roman" w:hAnsi="Times New Roman" w:eastAsia="仿宋" w:cs="Times New Roman"/>
          <w:sz w:val="28"/>
          <w:szCs w:val="28"/>
        </w:rPr>
      </w:pPr>
      <w:bookmarkStart w:id="144" w:name="_Toc414781157"/>
      <w:bookmarkStart w:id="145" w:name="_Toc417753623"/>
      <w:bookmarkStart w:id="146" w:name="_Toc420526462"/>
      <w:bookmarkStart w:id="147" w:name="_Toc29209"/>
      <w:bookmarkStart w:id="148" w:name="_Toc414444099"/>
      <w:r>
        <w:rPr>
          <w:rFonts w:ascii="Times New Roman" w:hAnsi="仿宋" w:eastAsia="仿宋" w:cs="Times New Roman"/>
          <w:sz w:val="28"/>
          <w:szCs w:val="28"/>
        </w:rPr>
        <w:t>（一）关于评价责任的说明</w:t>
      </w:r>
      <w:bookmarkEnd w:id="144"/>
      <w:bookmarkEnd w:id="145"/>
      <w:bookmarkEnd w:id="146"/>
      <w:bookmarkEnd w:id="147"/>
      <w:bookmarkEnd w:id="148"/>
    </w:p>
    <w:p w14:paraId="508E49C4">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本绩效评价报告是在被评价单位提供项目评价资料的基础上核实、分析而完成的，这些评价资料是由项目执行单位六角亭街办事处所提供的，其合法性、真实性、完整性由项目执行单位负责，我们的责任是对绩效评价报告的真实性、合法性负责。</w:t>
      </w:r>
    </w:p>
    <w:p w14:paraId="25C3CB2A">
      <w:pPr>
        <w:pStyle w:val="3"/>
        <w:spacing w:line="500" w:lineRule="exact"/>
        <w:ind w:firstLine="281" w:firstLineChars="100"/>
        <w:rPr>
          <w:rFonts w:ascii="Times New Roman" w:hAnsi="Times New Roman" w:eastAsia="仿宋" w:cs="Times New Roman"/>
          <w:sz w:val="28"/>
          <w:szCs w:val="28"/>
        </w:rPr>
      </w:pPr>
      <w:bookmarkStart w:id="149" w:name="_Toc417753624"/>
      <w:bookmarkStart w:id="150" w:name="_Toc414781158"/>
      <w:bookmarkStart w:id="151" w:name="_Toc414444100"/>
      <w:bookmarkStart w:id="152" w:name="_Toc7092"/>
      <w:bookmarkStart w:id="153" w:name="_Toc420526463"/>
      <w:r>
        <w:rPr>
          <w:rFonts w:ascii="Times New Roman" w:hAnsi="仿宋" w:eastAsia="仿宋" w:cs="Times New Roman"/>
          <w:sz w:val="28"/>
          <w:szCs w:val="28"/>
        </w:rPr>
        <w:t>（二）关于影响本项目绩效评价局限性的说明</w:t>
      </w:r>
      <w:bookmarkEnd w:id="149"/>
      <w:bookmarkEnd w:id="150"/>
      <w:bookmarkEnd w:id="151"/>
      <w:bookmarkEnd w:id="152"/>
      <w:bookmarkEnd w:id="153"/>
    </w:p>
    <w:p w14:paraId="0B695886">
      <w:pPr>
        <w:snapToGrid w:val="0"/>
        <w:spacing w:line="500" w:lineRule="exact"/>
        <w:ind w:firstLine="425" w:firstLineChars="152"/>
        <w:rPr>
          <w:rFonts w:ascii="Times New Roman" w:hAnsi="Times New Roman" w:eastAsia="仿宋" w:cs="Times New Roman"/>
          <w:bCs/>
          <w:sz w:val="28"/>
          <w:szCs w:val="28"/>
        </w:rPr>
      </w:pPr>
      <w:r>
        <w:rPr>
          <w:rFonts w:ascii="Times New Roman" w:hAnsi="Times New Roman" w:eastAsia="仿宋" w:cs="Times New Roman"/>
          <w:bCs/>
          <w:sz w:val="28"/>
          <w:szCs w:val="28"/>
        </w:rPr>
        <w:t>1</w:t>
      </w:r>
      <w:r>
        <w:rPr>
          <w:rFonts w:ascii="Times New Roman" w:hAnsi="Times New Roman" w:eastAsia="仿宋" w:cs="Times New Roman"/>
          <w:color w:val="000000"/>
          <w:sz w:val="28"/>
          <w:szCs w:val="28"/>
        </w:rPr>
        <w:t>.</w:t>
      </w:r>
      <w:r>
        <w:rPr>
          <w:rFonts w:ascii="Times New Roman" w:hAnsi="仿宋" w:eastAsia="仿宋" w:cs="Times New Roman"/>
          <w:bCs/>
          <w:sz w:val="28"/>
          <w:szCs w:val="28"/>
        </w:rPr>
        <w:t>部分三级指标是在项目执行单位提供的相关评价资料的基础上分析得出的，其可靠性取决于项目执行单位提供的资料的真实性、有效性和正确性，同时也受绩效评价工作组人员专业判断能力的限制，可能会对评价结论产生一定影响。</w:t>
      </w:r>
    </w:p>
    <w:p w14:paraId="0230856F">
      <w:pPr>
        <w:snapToGrid w:val="0"/>
        <w:spacing w:line="500" w:lineRule="exact"/>
        <w:ind w:firstLine="425" w:firstLineChars="152"/>
        <w:rPr>
          <w:rFonts w:ascii="Times New Roman" w:hAnsi="Times New Roman" w:eastAsia="仿宋" w:cs="Times New Roman"/>
          <w:bCs/>
          <w:sz w:val="28"/>
          <w:szCs w:val="28"/>
        </w:rPr>
      </w:pPr>
      <w:r>
        <w:rPr>
          <w:rFonts w:ascii="Times New Roman" w:hAnsi="Times New Roman" w:eastAsia="仿宋" w:cs="Times New Roman"/>
          <w:bCs/>
          <w:sz w:val="28"/>
          <w:szCs w:val="28"/>
        </w:rPr>
        <w:t>2</w:t>
      </w:r>
      <w:r>
        <w:rPr>
          <w:rFonts w:ascii="Times New Roman" w:hAnsi="Times New Roman" w:eastAsia="仿宋" w:cs="Times New Roman"/>
          <w:color w:val="000000"/>
          <w:sz w:val="28"/>
          <w:szCs w:val="28"/>
        </w:rPr>
        <w:t>.</w:t>
      </w:r>
      <w:r>
        <w:rPr>
          <w:rFonts w:ascii="Times New Roman" w:hAnsi="仿宋" w:eastAsia="仿宋" w:cs="Times New Roman"/>
          <w:bCs/>
          <w:sz w:val="28"/>
          <w:szCs w:val="28"/>
        </w:rPr>
        <w:t>缺乏评价数据收集和分析的信息系统。目前，由于缺乏评价数据收集和分析的信息系统，对财政项目支出绩效评价数据收集的方式仍是人工统计和汇总，数据繁杂，工作量较大，而且在汇总过程中难免出现计算误差，可能会导致汇总数据和项目实际情况出现偏差。</w:t>
      </w:r>
    </w:p>
    <w:p w14:paraId="59E385C6">
      <w:pPr>
        <w:pStyle w:val="3"/>
        <w:spacing w:line="500" w:lineRule="exact"/>
        <w:ind w:left="420" w:leftChars="200"/>
        <w:rPr>
          <w:rFonts w:ascii="Times New Roman" w:hAnsi="Times New Roman" w:eastAsia="仿宋" w:cs="Times New Roman"/>
          <w:sz w:val="28"/>
          <w:szCs w:val="28"/>
        </w:rPr>
      </w:pPr>
      <w:bookmarkStart w:id="154" w:name="_Toc420526465"/>
      <w:bookmarkStart w:id="155" w:name="_Toc24706"/>
      <w:bookmarkStart w:id="156" w:name="_Toc414444102"/>
      <w:bookmarkStart w:id="157" w:name="_Toc414781160"/>
      <w:bookmarkStart w:id="158" w:name="_Toc417753626"/>
      <w:r>
        <w:rPr>
          <w:rFonts w:ascii="Times New Roman" w:hAnsi="仿宋" w:eastAsia="仿宋" w:cs="Times New Roman"/>
          <w:sz w:val="28"/>
          <w:szCs w:val="28"/>
        </w:rPr>
        <w:t>（三）关于本项目评价中存在的瑕疵事项的说明</w:t>
      </w:r>
    </w:p>
    <w:p w14:paraId="2880FB49">
      <w:pPr>
        <w:pStyle w:val="3"/>
        <w:spacing w:line="500" w:lineRule="exact"/>
        <w:ind w:left="420" w:leftChars="200"/>
        <w:rPr>
          <w:rFonts w:ascii="Times New Roman" w:hAnsi="Times New Roman" w:eastAsia="仿宋" w:cs="Times New Roman"/>
          <w:sz w:val="28"/>
          <w:szCs w:val="28"/>
        </w:rPr>
      </w:pPr>
      <w:r>
        <w:rPr>
          <w:rFonts w:ascii="Times New Roman" w:hAnsi="仿宋" w:eastAsia="仿宋" w:cs="Times New Roman"/>
          <w:b w:val="0"/>
          <w:bCs/>
          <w:sz w:val="28"/>
          <w:szCs w:val="28"/>
        </w:rPr>
        <w:t>无。</w:t>
      </w:r>
    </w:p>
    <w:p w14:paraId="3FBA869F">
      <w:pPr>
        <w:pStyle w:val="3"/>
        <w:spacing w:line="500" w:lineRule="exact"/>
        <w:ind w:left="420" w:leftChars="200"/>
        <w:rPr>
          <w:rFonts w:ascii="Times New Roman" w:hAnsi="Times New Roman" w:eastAsia="仿宋" w:cs="Times New Roman"/>
          <w:sz w:val="28"/>
          <w:szCs w:val="28"/>
        </w:rPr>
      </w:pPr>
      <w:r>
        <w:rPr>
          <w:rFonts w:ascii="Times New Roman" w:hAnsi="仿宋" w:eastAsia="仿宋" w:cs="Times New Roman"/>
          <w:sz w:val="28"/>
          <w:szCs w:val="28"/>
        </w:rPr>
        <w:t>（四）提示报告使用者注意事项的说明</w:t>
      </w:r>
      <w:bookmarkEnd w:id="154"/>
      <w:bookmarkEnd w:id="155"/>
      <w:bookmarkEnd w:id="156"/>
      <w:bookmarkEnd w:id="157"/>
      <w:bookmarkEnd w:id="158"/>
    </w:p>
    <w:p w14:paraId="4B3DF03F">
      <w:pPr>
        <w:snapToGrid w:val="0"/>
        <w:spacing w:line="500" w:lineRule="exact"/>
        <w:ind w:firstLine="560" w:firstLineChars="200"/>
        <w:rPr>
          <w:rFonts w:ascii="Times New Roman" w:hAnsi="Times New Roman" w:eastAsia="仿宋" w:cs="Times New Roman"/>
          <w:bCs/>
          <w:sz w:val="28"/>
          <w:szCs w:val="28"/>
        </w:rPr>
      </w:pPr>
      <w:r>
        <w:rPr>
          <w:rFonts w:ascii="Times New Roman" w:hAnsi="仿宋" w:eastAsia="仿宋" w:cs="Times New Roman"/>
          <w:bCs/>
          <w:sz w:val="28"/>
          <w:szCs w:val="28"/>
        </w:rPr>
        <w:t>本绩效评价报告只能用于评价报告所载明的评价目的和用途，只能由评价报告载明的评价报告使用者使用；未征得委托方、相关政府部门或出具绩效评价报告的评价机构同意，绩效评价报告的内容不得被摘抄、引用或披露于公开媒体，法律、法规规定及相关当事方另有约定的除外。</w:t>
      </w:r>
    </w:p>
    <w:p w14:paraId="1CB5B8B3">
      <w:pPr>
        <w:snapToGrid w:val="0"/>
        <w:spacing w:line="440" w:lineRule="exact"/>
        <w:ind w:firstLine="420" w:firstLineChars="200"/>
        <w:rPr>
          <w:rFonts w:ascii="Times New Roman" w:hAnsi="Times New Roman" w:eastAsia="仿宋" w:cs="Times New Roman"/>
          <w:bCs/>
          <w:highlight w:val="yellow"/>
        </w:rPr>
      </w:pPr>
    </w:p>
    <w:bookmarkEnd w:id="140"/>
    <w:bookmarkEnd w:id="141"/>
    <w:bookmarkEnd w:id="142"/>
    <w:bookmarkEnd w:id="143"/>
    <w:p w14:paraId="65DEF051">
      <w:pPr>
        <w:snapToGrid w:val="0"/>
        <w:spacing w:line="440" w:lineRule="exact"/>
        <w:rPr>
          <w:rFonts w:ascii="Times New Roman" w:hAnsi="Times New Roman" w:eastAsia="仿宋" w:cs="Times New Roman"/>
          <w:sz w:val="28"/>
          <w:szCs w:val="28"/>
        </w:rPr>
      </w:pPr>
    </w:p>
    <w:p w14:paraId="464DF3F1">
      <w:pPr>
        <w:snapToGrid w:val="0"/>
        <w:spacing w:line="440" w:lineRule="exact"/>
        <w:rPr>
          <w:rFonts w:ascii="Times New Roman" w:hAnsi="Times New Roman" w:eastAsia="仿宋" w:cs="Times New Roman"/>
          <w:sz w:val="28"/>
          <w:szCs w:val="28"/>
        </w:rPr>
      </w:pPr>
    </w:p>
    <w:p w14:paraId="11BAA144">
      <w:pPr>
        <w:snapToGrid w:val="0"/>
        <w:spacing w:line="440" w:lineRule="exact"/>
        <w:rPr>
          <w:rFonts w:ascii="Times New Roman" w:hAnsi="Times New Roman" w:eastAsia="仿宋" w:cs="Times New Roman"/>
          <w:sz w:val="28"/>
          <w:szCs w:val="28"/>
        </w:rPr>
      </w:pPr>
    </w:p>
    <w:p w14:paraId="25097DAB">
      <w:pPr>
        <w:snapToGrid w:val="0"/>
        <w:spacing w:line="440" w:lineRule="exact"/>
        <w:rPr>
          <w:rFonts w:ascii="Times New Roman" w:hAnsi="Times New Roman" w:eastAsia="仿宋" w:cs="Times New Roman"/>
          <w:sz w:val="28"/>
          <w:szCs w:val="28"/>
        </w:rPr>
      </w:pPr>
    </w:p>
    <w:p w14:paraId="217DA418">
      <w:pPr>
        <w:snapToGrid w:val="0"/>
        <w:spacing w:line="440" w:lineRule="exact"/>
        <w:rPr>
          <w:rFonts w:ascii="Times New Roman" w:hAnsi="Times New Roman" w:eastAsia="仿宋" w:cs="Times New Roman"/>
          <w:sz w:val="28"/>
          <w:szCs w:val="28"/>
        </w:rPr>
      </w:pPr>
    </w:p>
    <w:p w14:paraId="2D5467FA">
      <w:pPr>
        <w:snapToGrid w:val="0"/>
        <w:spacing w:line="440" w:lineRule="exact"/>
        <w:rPr>
          <w:rFonts w:ascii="Times New Roman" w:hAnsi="Times New Roman" w:eastAsia="仿宋" w:cs="Times New Roman"/>
          <w:sz w:val="28"/>
          <w:szCs w:val="28"/>
        </w:rPr>
      </w:pPr>
    </w:p>
    <w:p w14:paraId="6C372C92">
      <w:pPr>
        <w:snapToGrid w:val="0"/>
        <w:spacing w:line="440" w:lineRule="exact"/>
        <w:rPr>
          <w:rFonts w:ascii="Times New Roman" w:hAnsi="Times New Roman" w:eastAsia="仿宋" w:cs="Times New Roman"/>
          <w:sz w:val="28"/>
          <w:szCs w:val="28"/>
        </w:rPr>
      </w:pPr>
    </w:p>
    <w:p w14:paraId="740E1856">
      <w:pPr>
        <w:snapToGrid w:val="0"/>
        <w:spacing w:line="440" w:lineRule="exact"/>
        <w:rPr>
          <w:rFonts w:ascii="Times New Roman" w:hAnsi="Times New Roman" w:eastAsia="仿宋" w:cs="Times New Roman"/>
          <w:sz w:val="28"/>
          <w:szCs w:val="28"/>
        </w:rPr>
      </w:pPr>
    </w:p>
    <w:p w14:paraId="3E163713">
      <w:pPr>
        <w:snapToGrid w:val="0"/>
        <w:spacing w:line="440" w:lineRule="exact"/>
        <w:rPr>
          <w:rFonts w:ascii="Times New Roman" w:hAnsi="Times New Roman" w:eastAsia="仿宋" w:cs="Times New Roman"/>
          <w:sz w:val="28"/>
          <w:szCs w:val="28"/>
        </w:rPr>
      </w:pPr>
    </w:p>
    <w:p w14:paraId="53625DF7">
      <w:pPr>
        <w:snapToGrid w:val="0"/>
        <w:spacing w:line="440" w:lineRule="exact"/>
        <w:rPr>
          <w:rFonts w:ascii="Times New Roman" w:hAnsi="Times New Roman" w:eastAsia="仿宋" w:cs="Times New Roman"/>
          <w:sz w:val="28"/>
          <w:szCs w:val="28"/>
        </w:rPr>
      </w:pPr>
    </w:p>
    <w:p w14:paraId="3F26B0EA">
      <w:pPr>
        <w:snapToGrid w:val="0"/>
        <w:spacing w:line="440" w:lineRule="exact"/>
        <w:rPr>
          <w:rFonts w:ascii="Times New Roman" w:hAnsi="Times New Roman" w:eastAsia="仿宋" w:cs="Times New Roman"/>
          <w:sz w:val="28"/>
          <w:szCs w:val="28"/>
        </w:rPr>
      </w:pPr>
    </w:p>
    <w:p w14:paraId="1646B837">
      <w:pPr>
        <w:snapToGrid w:val="0"/>
        <w:spacing w:line="440" w:lineRule="exact"/>
        <w:rPr>
          <w:rFonts w:ascii="Times New Roman" w:hAnsi="Times New Roman" w:eastAsia="仿宋" w:cs="Times New Roman"/>
          <w:sz w:val="28"/>
          <w:szCs w:val="28"/>
        </w:rPr>
      </w:pPr>
    </w:p>
    <w:p w14:paraId="1F55719D">
      <w:pPr>
        <w:snapToGrid w:val="0"/>
        <w:spacing w:line="440" w:lineRule="exact"/>
        <w:rPr>
          <w:rFonts w:ascii="Times New Roman" w:hAnsi="Times New Roman" w:eastAsia="仿宋" w:cs="Times New Roman"/>
          <w:sz w:val="28"/>
          <w:szCs w:val="28"/>
        </w:rPr>
      </w:pPr>
    </w:p>
    <w:p w14:paraId="1C6FCCE8">
      <w:pPr>
        <w:snapToGrid w:val="0"/>
        <w:spacing w:line="440" w:lineRule="exact"/>
        <w:rPr>
          <w:rFonts w:ascii="Times New Roman" w:hAnsi="Times New Roman" w:eastAsia="仿宋" w:cs="Times New Roman"/>
          <w:sz w:val="28"/>
          <w:szCs w:val="28"/>
        </w:rPr>
      </w:pPr>
    </w:p>
    <w:p w14:paraId="0A3D7106">
      <w:pPr>
        <w:snapToGrid w:val="0"/>
        <w:spacing w:line="440" w:lineRule="exact"/>
        <w:rPr>
          <w:rFonts w:ascii="Times New Roman" w:hAnsi="Times New Roman" w:eastAsia="仿宋" w:cs="Times New Roman"/>
          <w:sz w:val="28"/>
          <w:szCs w:val="28"/>
        </w:rPr>
      </w:pPr>
    </w:p>
    <w:p w14:paraId="0DCFB903">
      <w:pPr>
        <w:snapToGrid w:val="0"/>
        <w:spacing w:line="440" w:lineRule="exact"/>
        <w:rPr>
          <w:rFonts w:ascii="Times New Roman" w:hAnsi="Times New Roman" w:eastAsia="仿宋" w:cs="Times New Roman"/>
          <w:sz w:val="28"/>
          <w:szCs w:val="28"/>
        </w:rPr>
      </w:pPr>
    </w:p>
    <w:p w14:paraId="320087BF">
      <w:pPr>
        <w:snapToGrid w:val="0"/>
        <w:spacing w:line="440" w:lineRule="exact"/>
        <w:rPr>
          <w:rFonts w:ascii="Times New Roman" w:hAnsi="Times New Roman" w:eastAsia="仿宋" w:cs="Times New Roman"/>
          <w:sz w:val="28"/>
          <w:szCs w:val="28"/>
        </w:rPr>
      </w:pPr>
    </w:p>
    <w:p w14:paraId="0B5105E1">
      <w:pPr>
        <w:snapToGrid w:val="0"/>
        <w:spacing w:line="440" w:lineRule="exact"/>
        <w:rPr>
          <w:rFonts w:ascii="Times New Roman" w:hAnsi="Times New Roman" w:eastAsia="仿宋" w:cs="Times New Roman"/>
          <w:sz w:val="28"/>
          <w:szCs w:val="28"/>
        </w:rPr>
      </w:pPr>
    </w:p>
    <w:p w14:paraId="6DD60D9E">
      <w:pPr>
        <w:snapToGrid w:val="0"/>
        <w:spacing w:line="440" w:lineRule="exact"/>
        <w:rPr>
          <w:rFonts w:ascii="Times New Roman" w:hAnsi="Times New Roman" w:eastAsia="仿宋" w:cs="Times New Roman"/>
          <w:sz w:val="28"/>
          <w:szCs w:val="28"/>
        </w:rPr>
      </w:pPr>
    </w:p>
    <w:p w14:paraId="7B4B24BA">
      <w:pPr>
        <w:snapToGrid w:val="0"/>
        <w:spacing w:line="440" w:lineRule="exact"/>
        <w:rPr>
          <w:rFonts w:ascii="Times New Roman" w:hAnsi="Times New Roman" w:eastAsia="仿宋" w:cs="Times New Roman"/>
          <w:sz w:val="28"/>
          <w:szCs w:val="28"/>
        </w:rPr>
      </w:pPr>
    </w:p>
    <w:p w14:paraId="4417ECDE">
      <w:pPr>
        <w:snapToGrid w:val="0"/>
        <w:spacing w:line="440" w:lineRule="exact"/>
        <w:rPr>
          <w:rFonts w:ascii="Times New Roman" w:hAnsi="Times New Roman" w:eastAsia="仿宋" w:cs="Times New Roman"/>
          <w:sz w:val="28"/>
          <w:szCs w:val="28"/>
        </w:rPr>
      </w:pPr>
    </w:p>
    <w:p w14:paraId="02E9C713">
      <w:pPr>
        <w:snapToGrid w:val="0"/>
        <w:spacing w:line="440" w:lineRule="exact"/>
        <w:rPr>
          <w:rFonts w:ascii="Times New Roman" w:hAnsi="Times New Roman" w:eastAsia="仿宋" w:cs="Times New Roman"/>
          <w:b/>
          <w:bCs/>
          <w:sz w:val="28"/>
          <w:szCs w:val="28"/>
        </w:rPr>
      </w:pPr>
      <w:r>
        <w:rPr>
          <w:rFonts w:ascii="Times New Roman" w:hAnsi="仿宋" w:eastAsia="仿宋" w:cs="Times New Roman"/>
          <w:sz w:val="28"/>
          <w:szCs w:val="28"/>
        </w:rPr>
        <w:t>（此页无正文）</w:t>
      </w:r>
    </w:p>
    <w:p w14:paraId="5279D9B8">
      <w:pPr>
        <w:snapToGrid w:val="0"/>
        <w:spacing w:line="440" w:lineRule="exact"/>
        <w:ind w:firstLine="843" w:firstLineChars="300"/>
        <w:rPr>
          <w:rFonts w:ascii="Times New Roman" w:hAnsi="Times New Roman" w:eastAsia="仿宋" w:cs="Times New Roman"/>
          <w:b/>
          <w:bCs/>
          <w:sz w:val="28"/>
          <w:szCs w:val="28"/>
        </w:rPr>
      </w:pPr>
    </w:p>
    <w:p w14:paraId="0955B072">
      <w:pPr>
        <w:snapToGrid w:val="0"/>
        <w:spacing w:line="440" w:lineRule="exact"/>
        <w:ind w:firstLine="843" w:firstLineChars="300"/>
        <w:rPr>
          <w:rFonts w:ascii="Times New Roman" w:hAnsi="Times New Roman" w:eastAsia="仿宋" w:cs="Times New Roman"/>
          <w:b/>
          <w:bCs/>
          <w:sz w:val="28"/>
          <w:szCs w:val="28"/>
        </w:rPr>
      </w:pPr>
    </w:p>
    <w:p w14:paraId="02205E49">
      <w:pPr>
        <w:snapToGrid w:val="0"/>
        <w:spacing w:line="440" w:lineRule="exact"/>
        <w:ind w:firstLine="843" w:firstLineChars="300"/>
        <w:rPr>
          <w:rFonts w:ascii="Times New Roman" w:hAnsi="Times New Roman" w:eastAsia="仿宋" w:cs="Times New Roman"/>
          <w:b/>
          <w:bCs/>
          <w:sz w:val="28"/>
          <w:szCs w:val="28"/>
        </w:rPr>
      </w:pPr>
    </w:p>
    <w:p w14:paraId="00FF17C2">
      <w:pPr>
        <w:snapToGrid w:val="0"/>
        <w:spacing w:line="440" w:lineRule="exact"/>
        <w:ind w:firstLine="843" w:firstLineChars="300"/>
        <w:rPr>
          <w:rFonts w:ascii="Times New Roman" w:hAnsi="Times New Roman" w:eastAsia="仿宋" w:cs="Times New Roman"/>
          <w:sz w:val="28"/>
          <w:szCs w:val="28"/>
        </w:rPr>
      </w:pPr>
      <w:r>
        <w:rPr>
          <w:rFonts w:ascii="Times New Roman" w:hAnsi="仿宋" w:eastAsia="仿宋" w:cs="Times New Roman"/>
          <w:b/>
          <w:bCs/>
          <w:sz w:val="28"/>
          <w:szCs w:val="28"/>
        </w:rPr>
        <w:t>附件：</w:t>
      </w:r>
    </w:p>
    <w:p w14:paraId="3AC7E4FB">
      <w:pPr>
        <w:snapToGrid w:val="0"/>
        <w:spacing w:line="440" w:lineRule="exact"/>
        <w:ind w:firstLine="1400" w:firstLineChars="500"/>
        <w:rPr>
          <w:rFonts w:ascii="Times New Roman" w:hAnsi="Times New Roman" w:eastAsia="仿宋" w:cs="Times New Roman"/>
          <w:sz w:val="28"/>
          <w:szCs w:val="28"/>
        </w:rPr>
      </w:pPr>
      <w:r>
        <w:rPr>
          <w:rFonts w:ascii="Times New Roman" w:hAnsi="Times New Roman" w:eastAsia="仿宋" w:cs="Times New Roman"/>
          <w:sz w:val="28"/>
          <w:szCs w:val="28"/>
        </w:rPr>
        <w:t>1．项目绩效评价评分表</w:t>
      </w:r>
    </w:p>
    <w:p w14:paraId="797136B0">
      <w:pPr>
        <w:snapToGrid w:val="0"/>
        <w:spacing w:line="440" w:lineRule="exact"/>
        <w:ind w:firstLine="1400" w:firstLineChars="500"/>
        <w:rPr>
          <w:rFonts w:ascii="Times New Roman" w:hAnsi="Times New Roman" w:eastAsia="仿宋" w:cs="Times New Roman"/>
          <w:sz w:val="28"/>
          <w:szCs w:val="28"/>
        </w:rPr>
      </w:pPr>
      <w:r>
        <w:rPr>
          <w:rFonts w:ascii="Times New Roman" w:hAnsi="Times New Roman" w:eastAsia="仿宋" w:cs="Times New Roman"/>
          <w:sz w:val="28"/>
          <w:szCs w:val="28"/>
        </w:rPr>
        <w:t>2</w:t>
      </w:r>
      <w:r>
        <w:rPr>
          <w:rFonts w:ascii="Times New Roman" w:hAnsi="仿宋" w:eastAsia="仿宋" w:cs="Times New Roman"/>
          <w:sz w:val="28"/>
          <w:szCs w:val="28"/>
        </w:rPr>
        <w:t>．基础数据表</w:t>
      </w:r>
    </w:p>
    <w:p w14:paraId="66BBEE9C">
      <w:pPr>
        <w:snapToGrid w:val="0"/>
        <w:spacing w:line="440" w:lineRule="exact"/>
        <w:ind w:firstLine="1400" w:firstLineChars="500"/>
        <w:rPr>
          <w:rFonts w:ascii="Times New Roman" w:hAnsi="Times New Roman" w:eastAsia="仿宋" w:cs="Times New Roman"/>
          <w:sz w:val="28"/>
          <w:szCs w:val="28"/>
        </w:rPr>
      </w:pPr>
      <w:r>
        <w:rPr>
          <w:rFonts w:ascii="Times New Roman" w:hAnsi="Times New Roman" w:eastAsia="仿宋" w:cs="Times New Roman"/>
          <w:sz w:val="28"/>
          <w:szCs w:val="28"/>
        </w:rPr>
        <w:t>3</w:t>
      </w:r>
      <w:r>
        <w:rPr>
          <w:rFonts w:ascii="Times New Roman" w:hAnsi="仿宋" w:eastAsia="仿宋" w:cs="Times New Roman"/>
          <w:sz w:val="28"/>
          <w:szCs w:val="28"/>
        </w:rPr>
        <w:t>．现场调研和访谈相关资料</w:t>
      </w:r>
    </w:p>
    <w:p w14:paraId="30BB1681">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3-1</w:t>
      </w:r>
      <w:r>
        <w:rPr>
          <w:rFonts w:ascii="Times New Roman" w:hAnsi="仿宋" w:eastAsia="仿宋" w:cs="Times New Roman"/>
          <w:sz w:val="28"/>
        </w:rPr>
        <w:t>．项目访谈大纲</w:t>
      </w:r>
    </w:p>
    <w:p w14:paraId="1F9F9015">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3-2</w:t>
      </w:r>
      <w:r>
        <w:rPr>
          <w:rFonts w:ascii="Times New Roman" w:hAnsi="仿宋" w:eastAsia="仿宋" w:cs="Times New Roman"/>
          <w:sz w:val="28"/>
        </w:rPr>
        <w:t>．现场调研记录</w:t>
      </w:r>
    </w:p>
    <w:p w14:paraId="24A9F469">
      <w:pPr>
        <w:snapToGrid w:val="0"/>
        <w:spacing w:line="440" w:lineRule="exact"/>
        <w:ind w:firstLine="1400" w:firstLineChars="500"/>
        <w:rPr>
          <w:rFonts w:ascii="Times New Roman" w:hAnsi="Times New Roman" w:eastAsia="仿宋" w:cs="Times New Roman"/>
          <w:sz w:val="28"/>
          <w:szCs w:val="28"/>
        </w:rPr>
      </w:pPr>
      <w:r>
        <w:rPr>
          <w:rFonts w:ascii="Times New Roman" w:hAnsi="Times New Roman" w:eastAsia="仿宋" w:cs="Times New Roman"/>
          <w:sz w:val="28"/>
          <w:szCs w:val="28"/>
        </w:rPr>
        <w:t>4．调查问卷及汇总信息</w:t>
      </w:r>
    </w:p>
    <w:p w14:paraId="0B83098C">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4-1</w:t>
      </w:r>
      <w:r>
        <w:rPr>
          <w:rFonts w:ascii="Times New Roman" w:hAnsi="仿宋" w:eastAsia="仿宋" w:cs="Times New Roman"/>
          <w:sz w:val="28"/>
        </w:rPr>
        <w:t>．调查问卷</w:t>
      </w:r>
    </w:p>
    <w:p w14:paraId="36A44075">
      <w:pPr>
        <w:snapToGrid w:val="0"/>
        <w:spacing w:line="500" w:lineRule="exact"/>
        <w:ind w:firstLine="1960" w:firstLineChars="700"/>
        <w:rPr>
          <w:rFonts w:ascii="Times New Roman" w:hAnsi="Times New Roman" w:eastAsia="仿宋" w:cs="Times New Roman"/>
          <w:sz w:val="28"/>
        </w:rPr>
      </w:pPr>
      <w:r>
        <w:rPr>
          <w:rFonts w:ascii="Times New Roman" w:hAnsi="Times New Roman" w:eastAsia="仿宋" w:cs="Times New Roman"/>
          <w:sz w:val="28"/>
        </w:rPr>
        <w:t>4-2</w:t>
      </w:r>
      <w:r>
        <w:rPr>
          <w:rFonts w:ascii="Times New Roman" w:hAnsi="仿宋" w:eastAsia="仿宋" w:cs="Times New Roman"/>
          <w:sz w:val="28"/>
        </w:rPr>
        <w:t>．调查问卷分析</w:t>
      </w:r>
    </w:p>
    <w:p w14:paraId="6FDD72A3">
      <w:pPr>
        <w:snapToGrid w:val="0"/>
        <w:spacing w:line="500" w:lineRule="exact"/>
        <w:ind w:firstLine="1960" w:firstLineChars="700"/>
        <w:rPr>
          <w:rFonts w:ascii="Times New Roman" w:hAnsi="Times New Roman" w:eastAsia="仿宋" w:cs="Times New Roman"/>
          <w:bCs/>
          <w:sz w:val="28"/>
          <w:szCs w:val="28"/>
        </w:rPr>
      </w:pPr>
      <w:r>
        <w:rPr>
          <w:rFonts w:ascii="Times New Roman" w:hAnsi="Times New Roman" w:eastAsia="仿宋" w:cs="Times New Roman"/>
          <w:sz w:val="28"/>
        </w:rPr>
        <w:t>4-3</w:t>
      </w:r>
      <w:r>
        <w:rPr>
          <w:rFonts w:ascii="Times New Roman" w:hAnsi="仿宋" w:eastAsia="仿宋" w:cs="Times New Roman"/>
          <w:sz w:val="28"/>
        </w:rPr>
        <w:t>．</w:t>
      </w:r>
      <w:r>
        <w:rPr>
          <w:rFonts w:ascii="Times New Roman" w:hAnsi="仿宋" w:eastAsia="仿宋" w:cs="Times New Roman"/>
          <w:bCs/>
          <w:sz w:val="28"/>
          <w:szCs w:val="28"/>
        </w:rPr>
        <w:t>调查问卷统计信息一览表</w:t>
      </w:r>
    </w:p>
    <w:p w14:paraId="5AFCE9D6">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5</w:t>
      </w:r>
      <w:r>
        <w:rPr>
          <w:rFonts w:ascii="Times New Roman" w:hAnsi="仿宋" w:eastAsia="仿宋" w:cs="Times New Roman"/>
          <w:sz w:val="28"/>
          <w:szCs w:val="28"/>
        </w:rPr>
        <w:t>．项目实施单位绩效报告</w:t>
      </w:r>
    </w:p>
    <w:p w14:paraId="006C735E">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6</w:t>
      </w:r>
      <w:r>
        <w:rPr>
          <w:rFonts w:ascii="Times New Roman" w:hAnsi="仿宋" w:eastAsia="仿宋" w:cs="Times New Roman"/>
          <w:sz w:val="28"/>
          <w:szCs w:val="28"/>
        </w:rPr>
        <w:t>．项目支出年度绩效目标完成情况对比表</w:t>
      </w:r>
    </w:p>
    <w:p w14:paraId="11933473">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7</w:t>
      </w:r>
      <w:r>
        <w:rPr>
          <w:rFonts w:ascii="Times New Roman" w:hAnsi="仿宋" w:eastAsia="仿宋" w:cs="Times New Roman"/>
          <w:sz w:val="28"/>
          <w:szCs w:val="28"/>
        </w:rPr>
        <w:t>．评价机构营业执照（复印件）</w:t>
      </w:r>
    </w:p>
    <w:p w14:paraId="0333213A">
      <w:pPr>
        <w:snapToGrid w:val="0"/>
        <w:spacing w:line="440" w:lineRule="exact"/>
        <w:ind w:firstLine="1472" w:firstLineChars="526"/>
        <w:rPr>
          <w:rFonts w:ascii="Times New Roman" w:hAnsi="Times New Roman" w:eastAsia="仿宋" w:cs="Times New Roman"/>
          <w:sz w:val="28"/>
          <w:szCs w:val="28"/>
        </w:rPr>
      </w:pPr>
      <w:r>
        <w:rPr>
          <w:rFonts w:ascii="Times New Roman" w:hAnsi="Times New Roman" w:eastAsia="仿宋" w:cs="Times New Roman"/>
          <w:sz w:val="28"/>
          <w:szCs w:val="28"/>
        </w:rPr>
        <w:t>8</w:t>
      </w:r>
      <w:r>
        <w:rPr>
          <w:rFonts w:ascii="Times New Roman" w:hAnsi="仿宋" w:eastAsia="仿宋" w:cs="Times New Roman"/>
          <w:sz w:val="28"/>
          <w:szCs w:val="28"/>
        </w:rPr>
        <w:t>．评价机构资质证书（复印件）</w:t>
      </w:r>
    </w:p>
    <w:p w14:paraId="2ADB511C">
      <w:pPr>
        <w:snapToGrid w:val="0"/>
        <w:spacing w:line="440" w:lineRule="exact"/>
        <w:ind w:firstLine="480"/>
        <w:rPr>
          <w:rFonts w:ascii="Times New Roman" w:hAnsi="Times New Roman" w:eastAsia="仿宋" w:cs="Times New Roman"/>
          <w:sz w:val="28"/>
          <w:szCs w:val="28"/>
        </w:rPr>
      </w:pPr>
    </w:p>
    <w:p w14:paraId="13769D06">
      <w:pPr>
        <w:snapToGrid w:val="0"/>
        <w:spacing w:line="440" w:lineRule="exact"/>
        <w:ind w:firstLine="480"/>
        <w:rPr>
          <w:rFonts w:ascii="Times New Roman" w:hAnsi="Times New Roman" w:eastAsia="仿宋" w:cs="Times New Roman"/>
          <w:sz w:val="24"/>
          <w:szCs w:val="24"/>
        </w:rPr>
      </w:pPr>
    </w:p>
    <w:p w14:paraId="74066C6E">
      <w:pPr>
        <w:snapToGrid w:val="0"/>
        <w:spacing w:line="440" w:lineRule="exact"/>
        <w:ind w:firstLine="480"/>
        <w:rPr>
          <w:rFonts w:ascii="Times New Roman" w:hAnsi="Times New Roman" w:eastAsia="仿宋" w:cs="Times New Roman"/>
        </w:rPr>
      </w:pPr>
    </w:p>
    <w:p w14:paraId="0D33BA08">
      <w:pPr>
        <w:snapToGrid w:val="0"/>
        <w:spacing w:line="440" w:lineRule="exact"/>
        <w:ind w:firstLine="480"/>
        <w:jc w:val="right"/>
        <w:rPr>
          <w:rFonts w:ascii="Times New Roman" w:hAnsi="Times New Roman" w:eastAsia="仿宋" w:cs="Times New Roman"/>
        </w:rPr>
      </w:pPr>
    </w:p>
    <w:p w14:paraId="5BA68125">
      <w:pPr>
        <w:snapToGrid w:val="0"/>
        <w:spacing w:line="440" w:lineRule="exact"/>
        <w:ind w:firstLine="480"/>
        <w:jc w:val="right"/>
        <w:rPr>
          <w:rFonts w:ascii="Times New Roman" w:hAnsi="Times New Roman" w:eastAsia="仿宋" w:cs="Times New Roman"/>
        </w:rPr>
      </w:pPr>
    </w:p>
    <w:p w14:paraId="789300ED">
      <w:pPr>
        <w:snapToGrid w:val="0"/>
        <w:spacing w:line="440" w:lineRule="exact"/>
        <w:ind w:firstLine="480"/>
        <w:jc w:val="right"/>
        <w:rPr>
          <w:rFonts w:ascii="Times New Roman" w:hAnsi="Times New Roman" w:eastAsia="仿宋" w:cs="Times New Roman"/>
        </w:rPr>
      </w:pPr>
    </w:p>
    <w:p w14:paraId="5442147C">
      <w:pPr>
        <w:snapToGrid w:val="0"/>
        <w:spacing w:line="440" w:lineRule="exact"/>
        <w:ind w:firstLine="480"/>
        <w:jc w:val="right"/>
        <w:rPr>
          <w:rFonts w:ascii="Times New Roman" w:hAnsi="Times New Roman" w:eastAsia="仿宋" w:cs="Times New Roman"/>
        </w:rPr>
      </w:pPr>
    </w:p>
    <w:p w14:paraId="14AF5519">
      <w:pPr>
        <w:snapToGrid w:val="0"/>
        <w:spacing w:line="440" w:lineRule="exact"/>
        <w:ind w:firstLine="480"/>
        <w:jc w:val="right"/>
        <w:rPr>
          <w:rFonts w:ascii="Times New Roman" w:hAnsi="Times New Roman" w:eastAsia="仿宋" w:cs="Times New Roman"/>
        </w:rPr>
      </w:pPr>
    </w:p>
    <w:p w14:paraId="43B364F7">
      <w:pPr>
        <w:snapToGrid w:val="0"/>
        <w:spacing w:line="440" w:lineRule="exact"/>
        <w:ind w:firstLine="480"/>
        <w:jc w:val="right"/>
        <w:rPr>
          <w:rFonts w:ascii="Times New Roman" w:hAnsi="Times New Roman" w:eastAsia="仿宋" w:cs="Times New Roman"/>
          <w:sz w:val="28"/>
          <w:szCs w:val="28"/>
        </w:rPr>
      </w:pPr>
      <w:r>
        <w:rPr>
          <w:rFonts w:ascii="Times New Roman" w:hAnsi="仿宋" w:eastAsia="仿宋" w:cs="Times New Roman"/>
          <w:sz w:val="28"/>
          <w:szCs w:val="28"/>
        </w:rPr>
        <w:t>武汉泓昌宇会计师事务所（普通合伙）</w:t>
      </w:r>
    </w:p>
    <w:p w14:paraId="7548D38F">
      <w:pPr>
        <w:spacing w:line="500" w:lineRule="exact"/>
        <w:ind w:firstLine="1120" w:firstLineChars="400"/>
        <w:rPr>
          <w:rFonts w:ascii="Times New Roman" w:hAnsi="Times New Roman" w:eastAsia="仿宋" w:cs="Times New Roman"/>
          <w:sz w:val="28"/>
          <w:szCs w:val="28"/>
        </w:rPr>
      </w:pPr>
    </w:p>
    <w:p w14:paraId="6048170D">
      <w:pPr>
        <w:spacing w:line="500" w:lineRule="exact"/>
        <w:ind w:firstLine="5040" w:firstLineChars="1800"/>
        <w:rPr>
          <w:rFonts w:ascii="Times New Roman" w:hAnsi="Times New Roman" w:eastAsia="仿宋" w:cs="Times New Roman"/>
        </w:rPr>
      </w:pPr>
      <w:r>
        <w:rPr>
          <w:rFonts w:ascii="Times New Roman" w:hAnsi="Times New Roman" w:eastAsia="仿宋" w:cs="Times New Roman"/>
          <w:sz w:val="28"/>
          <w:szCs w:val="28"/>
        </w:rPr>
        <w:t>2019</w:t>
      </w:r>
      <w:r>
        <w:rPr>
          <w:rFonts w:ascii="Times New Roman" w:hAnsi="仿宋" w:eastAsia="仿宋" w:cs="Times New Roman"/>
          <w:sz w:val="28"/>
          <w:szCs w:val="28"/>
        </w:rPr>
        <w:t>年</w:t>
      </w:r>
      <w:r>
        <w:rPr>
          <w:rFonts w:ascii="Times New Roman" w:hAnsi="Times New Roman" w:eastAsia="仿宋" w:cs="Times New Roman"/>
          <w:sz w:val="28"/>
          <w:szCs w:val="28"/>
        </w:rPr>
        <w:t>08</w:t>
      </w:r>
      <w:r>
        <w:rPr>
          <w:rFonts w:ascii="Times New Roman" w:hAnsi="仿宋" w:eastAsia="仿宋" w:cs="Times New Roman"/>
          <w:sz w:val="28"/>
          <w:szCs w:val="28"/>
        </w:rPr>
        <w:t>月</w:t>
      </w:r>
      <w:r>
        <w:rPr>
          <w:rFonts w:hint="eastAsia" w:ascii="Times New Roman" w:hAnsi="Times New Roman" w:eastAsia="仿宋" w:cs="Times New Roman"/>
          <w:sz w:val="28"/>
          <w:szCs w:val="28"/>
        </w:rPr>
        <w:t>21</w:t>
      </w:r>
      <w:r>
        <w:rPr>
          <w:rFonts w:ascii="Times New Roman" w:hAnsi="仿宋" w:eastAsia="仿宋" w:cs="Times New Roman"/>
          <w:sz w:val="28"/>
          <w:szCs w:val="28"/>
        </w:rPr>
        <w:t>日</w:t>
      </w:r>
    </w:p>
    <w:sectPr>
      <w:footerReference r:id="rId6" w:type="default"/>
      <w:pgSz w:w="11906" w:h="16838"/>
      <w:pgMar w:top="1440" w:right="208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叶根友毛笔行书2.0版">
    <w:altName w:val="宋体"/>
    <w:panose1 w:val="02010601030101010101"/>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726C">
    <w:pPr>
      <w:pStyle w:val="6"/>
      <w:pBdr>
        <w:top w:val="single" w:color="auto" w:sz="2" w:space="0"/>
      </w:pBdr>
      <w:tabs>
        <w:tab w:val="center" w:pos="4350"/>
        <w:tab w:val="clear" w:pos="4153"/>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F50D4">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E00F6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FE00F6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2980">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C0FE43">
                          <w:pPr>
                            <w:pStyle w:val="6"/>
                            <w:rPr>
                              <w:rFonts w:ascii="Times New Roman" w:hAnsi="Times New Roman" w:eastAsia="仿宋" w:cs="Times New Roman"/>
                            </w:rPr>
                          </w:pPr>
                          <w:r>
                            <w:rPr>
                              <w:rFonts w:ascii="Times New Roman" w:hAnsi="仿宋" w:eastAsia="仿宋" w:cs="Times New Roman"/>
                            </w:rPr>
                            <w:t>第</w:t>
                          </w:r>
                          <w:r>
                            <w:rPr>
                              <w:rFonts w:ascii="Times New Roman" w:hAnsi="Times New Roman" w:eastAsia="仿宋" w:cs="Times New Roman"/>
                            </w:rPr>
                            <w:t xml:space="preserve"> </w:t>
                          </w:r>
                          <w:r>
                            <w:rPr>
                              <w:rFonts w:ascii="Times New Roman" w:hAnsi="Times New Roman" w:eastAsia="仿宋" w:cs="Times New Roman"/>
                            </w:rPr>
                            <w:fldChar w:fldCharType="begin"/>
                          </w:r>
                          <w:r>
                            <w:rPr>
                              <w:rFonts w:ascii="Times New Roman" w:hAnsi="Times New Roman" w:eastAsia="仿宋" w:cs="Times New Roman"/>
                            </w:rPr>
                            <w:instrText xml:space="preserve"> PAGE  \* MERGEFORMAT </w:instrText>
                          </w:r>
                          <w:r>
                            <w:rPr>
                              <w:rFonts w:ascii="Times New Roman" w:hAnsi="Times New Roman" w:eastAsia="仿宋" w:cs="Times New Roman"/>
                            </w:rPr>
                            <w:fldChar w:fldCharType="separate"/>
                          </w:r>
                          <w:r>
                            <w:rPr>
                              <w:rFonts w:ascii="Times New Roman" w:hAnsi="Times New Roman" w:eastAsia="仿宋" w:cs="Times New Roman"/>
                            </w:rPr>
                            <w:t>13</w:t>
                          </w:r>
                          <w:r>
                            <w:rPr>
                              <w:rFonts w:ascii="Times New Roman" w:hAnsi="Times New Roman" w:eastAsia="仿宋" w:cs="Times New Roman"/>
                            </w:rPr>
                            <w:fldChar w:fldCharType="end"/>
                          </w:r>
                          <w:r>
                            <w:rPr>
                              <w:rFonts w:ascii="Times New Roman" w:hAnsi="Times New Roman" w:eastAsia="仿宋" w:cs="Times New Roman"/>
                            </w:rPr>
                            <w:t xml:space="preserve"> </w:t>
                          </w:r>
                          <w:r>
                            <w:rPr>
                              <w:rFonts w:ascii="Times New Roman" w:hAnsi="仿宋" w:eastAsia="仿宋" w:cs="Times New Roman"/>
                            </w:rPr>
                            <w:t>页</w:t>
                          </w:r>
                          <w:r>
                            <w:rPr>
                              <w:rFonts w:ascii="Times New Roman" w:hAnsi="Times New Roman" w:eastAsia="仿宋" w:cs="Times New Roman"/>
                            </w:rPr>
                            <w:t xml:space="preserve"> </w:t>
                          </w:r>
                          <w:r>
                            <w:rPr>
                              <w:rFonts w:ascii="Times New Roman" w:hAnsi="仿宋" w:eastAsia="仿宋" w:cs="Times New Roman"/>
                            </w:rPr>
                            <w:t>共</w:t>
                          </w:r>
                          <w:r>
                            <w:rPr>
                              <w:rFonts w:ascii="Times New Roman" w:hAnsi="Times New Roman" w:eastAsia="仿宋" w:cs="Times New Roman"/>
                            </w:rPr>
                            <w:t xml:space="preserve"> 36 </w:t>
                          </w:r>
                          <w:r>
                            <w:rPr>
                              <w:rFonts w:ascii="Times New Roman" w:hAnsi="仿宋" w:eastAsia="仿宋" w:cs="Times New Roma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6C0FE43">
                    <w:pPr>
                      <w:pStyle w:val="6"/>
                      <w:rPr>
                        <w:rFonts w:ascii="Times New Roman" w:hAnsi="Times New Roman" w:eastAsia="仿宋" w:cs="Times New Roman"/>
                      </w:rPr>
                    </w:pPr>
                    <w:r>
                      <w:rPr>
                        <w:rFonts w:ascii="Times New Roman" w:hAnsi="仿宋" w:eastAsia="仿宋" w:cs="Times New Roman"/>
                      </w:rPr>
                      <w:t>第</w:t>
                    </w:r>
                    <w:r>
                      <w:rPr>
                        <w:rFonts w:ascii="Times New Roman" w:hAnsi="Times New Roman" w:eastAsia="仿宋" w:cs="Times New Roman"/>
                      </w:rPr>
                      <w:t xml:space="preserve"> </w:t>
                    </w:r>
                    <w:r>
                      <w:rPr>
                        <w:rFonts w:ascii="Times New Roman" w:hAnsi="Times New Roman" w:eastAsia="仿宋" w:cs="Times New Roman"/>
                      </w:rPr>
                      <w:fldChar w:fldCharType="begin"/>
                    </w:r>
                    <w:r>
                      <w:rPr>
                        <w:rFonts w:ascii="Times New Roman" w:hAnsi="Times New Roman" w:eastAsia="仿宋" w:cs="Times New Roman"/>
                      </w:rPr>
                      <w:instrText xml:space="preserve"> PAGE  \* MERGEFORMAT </w:instrText>
                    </w:r>
                    <w:r>
                      <w:rPr>
                        <w:rFonts w:ascii="Times New Roman" w:hAnsi="Times New Roman" w:eastAsia="仿宋" w:cs="Times New Roman"/>
                      </w:rPr>
                      <w:fldChar w:fldCharType="separate"/>
                    </w:r>
                    <w:r>
                      <w:rPr>
                        <w:rFonts w:ascii="Times New Roman" w:hAnsi="Times New Roman" w:eastAsia="仿宋" w:cs="Times New Roman"/>
                      </w:rPr>
                      <w:t>13</w:t>
                    </w:r>
                    <w:r>
                      <w:rPr>
                        <w:rFonts w:ascii="Times New Roman" w:hAnsi="Times New Roman" w:eastAsia="仿宋" w:cs="Times New Roman"/>
                      </w:rPr>
                      <w:fldChar w:fldCharType="end"/>
                    </w:r>
                    <w:r>
                      <w:rPr>
                        <w:rFonts w:ascii="Times New Roman" w:hAnsi="Times New Roman" w:eastAsia="仿宋" w:cs="Times New Roman"/>
                      </w:rPr>
                      <w:t xml:space="preserve"> </w:t>
                    </w:r>
                    <w:r>
                      <w:rPr>
                        <w:rFonts w:ascii="Times New Roman" w:hAnsi="仿宋" w:eastAsia="仿宋" w:cs="Times New Roman"/>
                      </w:rPr>
                      <w:t>页</w:t>
                    </w:r>
                    <w:r>
                      <w:rPr>
                        <w:rFonts w:ascii="Times New Roman" w:hAnsi="Times New Roman" w:eastAsia="仿宋" w:cs="Times New Roman"/>
                      </w:rPr>
                      <w:t xml:space="preserve"> </w:t>
                    </w:r>
                    <w:r>
                      <w:rPr>
                        <w:rFonts w:ascii="Times New Roman" w:hAnsi="仿宋" w:eastAsia="仿宋" w:cs="Times New Roman"/>
                      </w:rPr>
                      <w:t>共</w:t>
                    </w:r>
                    <w:r>
                      <w:rPr>
                        <w:rFonts w:ascii="Times New Roman" w:hAnsi="Times New Roman" w:eastAsia="仿宋" w:cs="Times New Roman"/>
                      </w:rPr>
                      <w:t xml:space="preserve"> 36 </w:t>
                    </w:r>
                    <w:r>
                      <w:rPr>
                        <w:rFonts w:ascii="Times New Roman" w:hAnsi="仿宋" w:eastAsia="仿宋" w:cs="Times New Roman"/>
                      </w:rPr>
                      <w:t>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FCDC9">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62FCDC9">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17D0">
    <w:pPr>
      <w:ind w:firstLine="100" w:firstLineChars="100"/>
      <w:rPr>
        <w:rFonts w:ascii="黑体" w:hAnsi="黑体" w:eastAsia="黑体" w:cs="黑体"/>
        <w:b/>
        <w:bCs/>
        <w:sz w:val="15"/>
        <w:szCs w:val="15"/>
      </w:rPr>
    </w:pPr>
    <w:r>
      <w:rPr>
        <w:rFonts w:hint="eastAsia" w:ascii="叶根友毛笔行书2.0版" w:hAnsi="叶根友毛笔行书2.0版" w:eastAsia="叶根友毛笔行书2.0版" w:cs="叶根友毛笔行书2.0版"/>
        <w:color w:val="000000" w:themeColor="text1"/>
        <w:sz w:val="10"/>
        <w:szCs w:val="10"/>
      </w:rPr>
      <w:drawing>
        <wp:anchor distT="0" distB="0" distL="114935" distR="114935" simplePos="0" relativeHeight="251659264" behindDoc="0" locked="0" layoutInCell="1" allowOverlap="1">
          <wp:simplePos x="0" y="0"/>
          <wp:positionH relativeFrom="column">
            <wp:posOffset>93980</wp:posOffset>
          </wp:positionH>
          <wp:positionV relativeFrom="paragraph">
            <wp:posOffset>-52705</wp:posOffset>
          </wp:positionV>
          <wp:extent cx="535940" cy="426720"/>
          <wp:effectExtent l="0" t="0" r="16510" b="11430"/>
          <wp:wrapNone/>
          <wp:docPr id="2" name="图片 2" descr="泓昌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泓昌宇图标"/>
                  <pic:cNvPicPr>
                    <a:picLocks noChangeAspect="1"/>
                  </pic:cNvPicPr>
                </pic:nvPicPr>
                <pic:blipFill>
                  <a:blip r:embed="rId1"/>
                  <a:srcRect b="18292"/>
                  <a:stretch>
                    <a:fillRect/>
                  </a:stretch>
                </pic:blipFill>
                <pic:spPr>
                  <a:xfrm>
                    <a:off x="0" y="0"/>
                    <a:ext cx="535940" cy="426720"/>
                  </a:xfrm>
                  <a:prstGeom prst="rect">
                    <a:avLst/>
                  </a:prstGeom>
                  <a:noFill/>
                  <a:ln>
                    <a:noFill/>
                  </a:ln>
                </pic:spPr>
              </pic:pic>
            </a:graphicData>
          </a:graphic>
        </wp:anchor>
      </w:drawing>
    </w:r>
    <w:r>
      <w:rPr>
        <w:rFonts w:hint="eastAsia" w:ascii="仿宋_GB2312" w:hAnsi="仿宋_GB2312" w:eastAsia="仿宋_GB2312" w:cs="仿宋_GB2312"/>
        <w:szCs w:val="21"/>
      </w:rPr>
      <w:t xml:space="preserve">          </w:t>
    </w:r>
    <w:r>
      <w:rPr>
        <w:rFonts w:hint="eastAsia" w:ascii="黑体" w:hAnsi="黑体" w:eastAsia="黑体" w:cs="黑体"/>
        <w:b/>
        <w:bCs/>
        <w:sz w:val="15"/>
        <w:szCs w:val="15"/>
      </w:rPr>
      <w:t>武 汉 泓 昌 宇 会 计 师 事 务 所（普 通 合 伙）</w:t>
    </w:r>
  </w:p>
  <w:p w14:paraId="57FEA0BD">
    <w:pPr>
      <w:ind w:firstLine="1084" w:firstLineChars="600"/>
      <w:rPr>
        <w:rFonts w:ascii="黑体" w:hAnsi="黑体" w:eastAsia="黑体" w:cs="黑体"/>
        <w:b/>
        <w:bCs/>
        <w:sz w:val="18"/>
        <w:szCs w:val="18"/>
      </w:rPr>
    </w:pPr>
    <w:r>
      <w:rPr>
        <w:rFonts w:hint="eastAsia" w:ascii="黑体" w:hAnsi="黑体" w:eastAsia="黑体" w:cs="黑体"/>
        <w:b/>
        <w:bCs/>
        <w:sz w:val="18"/>
        <w:szCs w:val="18"/>
      </w:rPr>
      <w:t>Wuhan  Hongchangyu  Accounting  firm(General Partnership)</w:t>
    </w:r>
  </w:p>
  <w:p w14:paraId="44D5BE7F">
    <w:pPr>
      <w:pStyle w:val="7"/>
      <w:wordWrap w:val="0"/>
    </w:pPr>
    <w:r>
      <w:rPr>
        <w:rFonts w:hint="eastAsia" w:ascii="仿宋_GB2312" w:hAnsi="仿宋_GB2312" w:eastAsia="仿宋_GB2312" w:cs="仿宋_GB2312"/>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57"/>
    <w:rsid w:val="00083372"/>
    <w:rsid w:val="000A53AA"/>
    <w:rsid w:val="000F3497"/>
    <w:rsid w:val="00104A4A"/>
    <w:rsid w:val="00196CEB"/>
    <w:rsid w:val="001E5AA8"/>
    <w:rsid w:val="00217C47"/>
    <w:rsid w:val="002202C4"/>
    <w:rsid w:val="00240B00"/>
    <w:rsid w:val="00287681"/>
    <w:rsid w:val="002910CC"/>
    <w:rsid w:val="002922D4"/>
    <w:rsid w:val="002A3063"/>
    <w:rsid w:val="002B3573"/>
    <w:rsid w:val="0032333E"/>
    <w:rsid w:val="00324266"/>
    <w:rsid w:val="00381D46"/>
    <w:rsid w:val="003A1ED1"/>
    <w:rsid w:val="003F5FE2"/>
    <w:rsid w:val="00412306"/>
    <w:rsid w:val="00423A55"/>
    <w:rsid w:val="00424C57"/>
    <w:rsid w:val="004B563E"/>
    <w:rsid w:val="004C6934"/>
    <w:rsid w:val="004D57E1"/>
    <w:rsid w:val="00504D22"/>
    <w:rsid w:val="005C0BB7"/>
    <w:rsid w:val="005C43CB"/>
    <w:rsid w:val="0060493C"/>
    <w:rsid w:val="006126BE"/>
    <w:rsid w:val="00673644"/>
    <w:rsid w:val="00692AFE"/>
    <w:rsid w:val="00695009"/>
    <w:rsid w:val="006C79F0"/>
    <w:rsid w:val="006D5AAA"/>
    <w:rsid w:val="006D6F04"/>
    <w:rsid w:val="006F1DD8"/>
    <w:rsid w:val="00705C61"/>
    <w:rsid w:val="00736591"/>
    <w:rsid w:val="0074141A"/>
    <w:rsid w:val="00753770"/>
    <w:rsid w:val="007927DF"/>
    <w:rsid w:val="00797E8A"/>
    <w:rsid w:val="007D5D87"/>
    <w:rsid w:val="00803797"/>
    <w:rsid w:val="00821801"/>
    <w:rsid w:val="008A5E18"/>
    <w:rsid w:val="008C5CF2"/>
    <w:rsid w:val="008E3375"/>
    <w:rsid w:val="008F74D2"/>
    <w:rsid w:val="0092196A"/>
    <w:rsid w:val="00952A2C"/>
    <w:rsid w:val="00993895"/>
    <w:rsid w:val="00A42A1B"/>
    <w:rsid w:val="00A8073F"/>
    <w:rsid w:val="00B266CC"/>
    <w:rsid w:val="00B334E6"/>
    <w:rsid w:val="00B72D92"/>
    <w:rsid w:val="00B914CE"/>
    <w:rsid w:val="00B96D2F"/>
    <w:rsid w:val="00C1183A"/>
    <w:rsid w:val="00C91376"/>
    <w:rsid w:val="00CB5CDD"/>
    <w:rsid w:val="00D522A3"/>
    <w:rsid w:val="00D72156"/>
    <w:rsid w:val="00D73A74"/>
    <w:rsid w:val="00DD073A"/>
    <w:rsid w:val="00DE653D"/>
    <w:rsid w:val="00DE7C53"/>
    <w:rsid w:val="00E10CD0"/>
    <w:rsid w:val="00E345C6"/>
    <w:rsid w:val="00E62059"/>
    <w:rsid w:val="00EB5E21"/>
    <w:rsid w:val="00ED5202"/>
    <w:rsid w:val="00EE2DB4"/>
    <w:rsid w:val="00F91357"/>
    <w:rsid w:val="00FA01A5"/>
    <w:rsid w:val="00FB1BA3"/>
    <w:rsid w:val="00FB4008"/>
    <w:rsid w:val="00FE3199"/>
    <w:rsid w:val="013B56DE"/>
    <w:rsid w:val="01CA449B"/>
    <w:rsid w:val="029914DA"/>
    <w:rsid w:val="02CC0A7A"/>
    <w:rsid w:val="02EC10B6"/>
    <w:rsid w:val="033A295C"/>
    <w:rsid w:val="0376004F"/>
    <w:rsid w:val="03950F81"/>
    <w:rsid w:val="04092CCF"/>
    <w:rsid w:val="040A7AE1"/>
    <w:rsid w:val="0479630F"/>
    <w:rsid w:val="04C16A9F"/>
    <w:rsid w:val="04D85309"/>
    <w:rsid w:val="05631D04"/>
    <w:rsid w:val="05E8545A"/>
    <w:rsid w:val="066A6D68"/>
    <w:rsid w:val="06E7188D"/>
    <w:rsid w:val="07394A5D"/>
    <w:rsid w:val="0740406A"/>
    <w:rsid w:val="076B7ADD"/>
    <w:rsid w:val="07DB6918"/>
    <w:rsid w:val="08BB4E98"/>
    <w:rsid w:val="09382D63"/>
    <w:rsid w:val="093E6A34"/>
    <w:rsid w:val="09690DA3"/>
    <w:rsid w:val="09946794"/>
    <w:rsid w:val="09BD4A87"/>
    <w:rsid w:val="0A3C2DFC"/>
    <w:rsid w:val="0A400524"/>
    <w:rsid w:val="0A6E335A"/>
    <w:rsid w:val="0AE05264"/>
    <w:rsid w:val="0AE34055"/>
    <w:rsid w:val="0B104EDF"/>
    <w:rsid w:val="0B3651F5"/>
    <w:rsid w:val="0B3C493B"/>
    <w:rsid w:val="0C0E23C1"/>
    <w:rsid w:val="0C3D7F1C"/>
    <w:rsid w:val="0C5B78A7"/>
    <w:rsid w:val="0CFD7D81"/>
    <w:rsid w:val="0DEB7F97"/>
    <w:rsid w:val="0EBE6139"/>
    <w:rsid w:val="0F205755"/>
    <w:rsid w:val="0FE543BF"/>
    <w:rsid w:val="0FEE46EA"/>
    <w:rsid w:val="0FF408C4"/>
    <w:rsid w:val="10A232AB"/>
    <w:rsid w:val="10A76CD6"/>
    <w:rsid w:val="11550343"/>
    <w:rsid w:val="11A25549"/>
    <w:rsid w:val="127105D1"/>
    <w:rsid w:val="138E1A18"/>
    <w:rsid w:val="144E13DF"/>
    <w:rsid w:val="149B6ECE"/>
    <w:rsid w:val="153B43B3"/>
    <w:rsid w:val="159E4720"/>
    <w:rsid w:val="15E21E29"/>
    <w:rsid w:val="15F245A8"/>
    <w:rsid w:val="1609168B"/>
    <w:rsid w:val="168B7B2B"/>
    <w:rsid w:val="16957076"/>
    <w:rsid w:val="16AA4BA5"/>
    <w:rsid w:val="171A5793"/>
    <w:rsid w:val="17356F3A"/>
    <w:rsid w:val="176322ED"/>
    <w:rsid w:val="17E342FE"/>
    <w:rsid w:val="18033348"/>
    <w:rsid w:val="18186F5B"/>
    <w:rsid w:val="18405592"/>
    <w:rsid w:val="186B0A76"/>
    <w:rsid w:val="18913ABA"/>
    <w:rsid w:val="18D9005F"/>
    <w:rsid w:val="19483F6E"/>
    <w:rsid w:val="1A473C3C"/>
    <w:rsid w:val="1A8B79B1"/>
    <w:rsid w:val="1B017DD1"/>
    <w:rsid w:val="1B047A4A"/>
    <w:rsid w:val="1B300842"/>
    <w:rsid w:val="1B9A3721"/>
    <w:rsid w:val="1BD66E77"/>
    <w:rsid w:val="1BF01B46"/>
    <w:rsid w:val="1BFC1D39"/>
    <w:rsid w:val="1C4B5659"/>
    <w:rsid w:val="1C640C2F"/>
    <w:rsid w:val="1C680BDC"/>
    <w:rsid w:val="1D971BD1"/>
    <w:rsid w:val="1DAC4B7B"/>
    <w:rsid w:val="1F326EBB"/>
    <w:rsid w:val="1F424709"/>
    <w:rsid w:val="1F84512F"/>
    <w:rsid w:val="1FDA756A"/>
    <w:rsid w:val="20196C8B"/>
    <w:rsid w:val="208507F2"/>
    <w:rsid w:val="20A36068"/>
    <w:rsid w:val="20B72485"/>
    <w:rsid w:val="21261705"/>
    <w:rsid w:val="21504515"/>
    <w:rsid w:val="217502BE"/>
    <w:rsid w:val="218C53EB"/>
    <w:rsid w:val="21B96FBB"/>
    <w:rsid w:val="21F45BA5"/>
    <w:rsid w:val="220A4456"/>
    <w:rsid w:val="2254548D"/>
    <w:rsid w:val="22DD2C46"/>
    <w:rsid w:val="230E1790"/>
    <w:rsid w:val="239F2C0A"/>
    <w:rsid w:val="23AF5CF9"/>
    <w:rsid w:val="23F60C35"/>
    <w:rsid w:val="241141AD"/>
    <w:rsid w:val="24254D5E"/>
    <w:rsid w:val="2464346B"/>
    <w:rsid w:val="246C33D8"/>
    <w:rsid w:val="24800770"/>
    <w:rsid w:val="24E83C05"/>
    <w:rsid w:val="2557382A"/>
    <w:rsid w:val="25952FC6"/>
    <w:rsid w:val="259A5153"/>
    <w:rsid w:val="25B9045F"/>
    <w:rsid w:val="265630BC"/>
    <w:rsid w:val="26A16401"/>
    <w:rsid w:val="26E20FE4"/>
    <w:rsid w:val="274F0873"/>
    <w:rsid w:val="27590450"/>
    <w:rsid w:val="284C5D37"/>
    <w:rsid w:val="285134F3"/>
    <w:rsid w:val="28BC0CF6"/>
    <w:rsid w:val="28EF192F"/>
    <w:rsid w:val="293B1185"/>
    <w:rsid w:val="295953F2"/>
    <w:rsid w:val="29964034"/>
    <w:rsid w:val="29F67B91"/>
    <w:rsid w:val="2A2B303D"/>
    <w:rsid w:val="2A3401D7"/>
    <w:rsid w:val="2A941C37"/>
    <w:rsid w:val="2ACE36FC"/>
    <w:rsid w:val="2AE96BAE"/>
    <w:rsid w:val="2AF1052E"/>
    <w:rsid w:val="2B516134"/>
    <w:rsid w:val="2B732F7D"/>
    <w:rsid w:val="2B86675C"/>
    <w:rsid w:val="2B96419C"/>
    <w:rsid w:val="2C380920"/>
    <w:rsid w:val="2C473763"/>
    <w:rsid w:val="2C505B70"/>
    <w:rsid w:val="2CBE58EC"/>
    <w:rsid w:val="2D295DDF"/>
    <w:rsid w:val="2D7113FF"/>
    <w:rsid w:val="2D9F727E"/>
    <w:rsid w:val="2DB75FDE"/>
    <w:rsid w:val="2DFF5B95"/>
    <w:rsid w:val="2E702AB5"/>
    <w:rsid w:val="2EF931D4"/>
    <w:rsid w:val="2F33046C"/>
    <w:rsid w:val="2F8346A1"/>
    <w:rsid w:val="2FC618C9"/>
    <w:rsid w:val="2FCB1E26"/>
    <w:rsid w:val="30165399"/>
    <w:rsid w:val="30334662"/>
    <w:rsid w:val="315A5FA0"/>
    <w:rsid w:val="31E17E0A"/>
    <w:rsid w:val="32C4494D"/>
    <w:rsid w:val="32FB6C21"/>
    <w:rsid w:val="33132678"/>
    <w:rsid w:val="335671B5"/>
    <w:rsid w:val="34315CAF"/>
    <w:rsid w:val="34667681"/>
    <w:rsid w:val="35071494"/>
    <w:rsid w:val="35284ADB"/>
    <w:rsid w:val="3534381C"/>
    <w:rsid w:val="35B35CAC"/>
    <w:rsid w:val="35CD29CE"/>
    <w:rsid w:val="365B5073"/>
    <w:rsid w:val="367A7CA4"/>
    <w:rsid w:val="36B1491A"/>
    <w:rsid w:val="3726058D"/>
    <w:rsid w:val="37304D52"/>
    <w:rsid w:val="38B00F88"/>
    <w:rsid w:val="39DB6AD0"/>
    <w:rsid w:val="39FF6141"/>
    <w:rsid w:val="3AAB16C2"/>
    <w:rsid w:val="3AE800FD"/>
    <w:rsid w:val="3AEE1289"/>
    <w:rsid w:val="3B6507DC"/>
    <w:rsid w:val="3B6A7B0A"/>
    <w:rsid w:val="3B836F50"/>
    <w:rsid w:val="3BB63A5C"/>
    <w:rsid w:val="3BC24D05"/>
    <w:rsid w:val="3BCA5637"/>
    <w:rsid w:val="3C1C4608"/>
    <w:rsid w:val="3C67762A"/>
    <w:rsid w:val="3CB7152F"/>
    <w:rsid w:val="3CD27485"/>
    <w:rsid w:val="3D213F0B"/>
    <w:rsid w:val="3D6A6B70"/>
    <w:rsid w:val="3DB6438D"/>
    <w:rsid w:val="3DE66D98"/>
    <w:rsid w:val="3DF5393F"/>
    <w:rsid w:val="3ED36979"/>
    <w:rsid w:val="3EDC4344"/>
    <w:rsid w:val="3EF77CDF"/>
    <w:rsid w:val="3F1E3380"/>
    <w:rsid w:val="3F4102A7"/>
    <w:rsid w:val="3FAC5F42"/>
    <w:rsid w:val="3FBD4310"/>
    <w:rsid w:val="3FEA0E89"/>
    <w:rsid w:val="412D0326"/>
    <w:rsid w:val="41345F41"/>
    <w:rsid w:val="414A06BE"/>
    <w:rsid w:val="41A77EA3"/>
    <w:rsid w:val="41AC0CF4"/>
    <w:rsid w:val="41E45F2C"/>
    <w:rsid w:val="422F0719"/>
    <w:rsid w:val="4249032A"/>
    <w:rsid w:val="42870D03"/>
    <w:rsid w:val="43053ADD"/>
    <w:rsid w:val="43707120"/>
    <w:rsid w:val="43C25A8B"/>
    <w:rsid w:val="43CE264C"/>
    <w:rsid w:val="43EF2BE6"/>
    <w:rsid w:val="44150BBF"/>
    <w:rsid w:val="44F05D4A"/>
    <w:rsid w:val="4533191D"/>
    <w:rsid w:val="453C7608"/>
    <w:rsid w:val="45544E6D"/>
    <w:rsid w:val="461C41C2"/>
    <w:rsid w:val="462D53A9"/>
    <w:rsid w:val="464F5CAD"/>
    <w:rsid w:val="46C063C5"/>
    <w:rsid w:val="46DF39FE"/>
    <w:rsid w:val="47011C7D"/>
    <w:rsid w:val="47734AFF"/>
    <w:rsid w:val="47FB2456"/>
    <w:rsid w:val="48E61B76"/>
    <w:rsid w:val="496C5C8F"/>
    <w:rsid w:val="49974FAF"/>
    <w:rsid w:val="4A7855BD"/>
    <w:rsid w:val="4A910C19"/>
    <w:rsid w:val="4AB20F94"/>
    <w:rsid w:val="4ABB605D"/>
    <w:rsid w:val="4AC42D47"/>
    <w:rsid w:val="4BD672FA"/>
    <w:rsid w:val="4C5C491D"/>
    <w:rsid w:val="4C944C99"/>
    <w:rsid w:val="4C9E167E"/>
    <w:rsid w:val="4CBB01E4"/>
    <w:rsid w:val="4DF67A9A"/>
    <w:rsid w:val="4E2D3FB9"/>
    <w:rsid w:val="4E5952C0"/>
    <w:rsid w:val="4E8C1553"/>
    <w:rsid w:val="4ED64572"/>
    <w:rsid w:val="4ED9738B"/>
    <w:rsid w:val="4F155332"/>
    <w:rsid w:val="4F1F36BE"/>
    <w:rsid w:val="4F2E3B10"/>
    <w:rsid w:val="4F7B0C7E"/>
    <w:rsid w:val="4F8D7693"/>
    <w:rsid w:val="4FAC03C2"/>
    <w:rsid w:val="4FAE1A75"/>
    <w:rsid w:val="4FBE08EA"/>
    <w:rsid w:val="50106E69"/>
    <w:rsid w:val="50B84CE4"/>
    <w:rsid w:val="50DC1BBA"/>
    <w:rsid w:val="511F3DF7"/>
    <w:rsid w:val="51646B02"/>
    <w:rsid w:val="51D61715"/>
    <w:rsid w:val="51F10381"/>
    <w:rsid w:val="522A4CDA"/>
    <w:rsid w:val="52681685"/>
    <w:rsid w:val="52C61792"/>
    <w:rsid w:val="52E16389"/>
    <w:rsid w:val="53333AB2"/>
    <w:rsid w:val="53E7205A"/>
    <w:rsid w:val="54043972"/>
    <w:rsid w:val="54237E67"/>
    <w:rsid w:val="54C92875"/>
    <w:rsid w:val="54D204DB"/>
    <w:rsid w:val="55A27ECA"/>
    <w:rsid w:val="55B16244"/>
    <w:rsid w:val="56543F7B"/>
    <w:rsid w:val="56A05060"/>
    <w:rsid w:val="572D663D"/>
    <w:rsid w:val="57AC192D"/>
    <w:rsid w:val="57CB3616"/>
    <w:rsid w:val="583915B5"/>
    <w:rsid w:val="586A47FB"/>
    <w:rsid w:val="5889519F"/>
    <w:rsid w:val="58BE0F9A"/>
    <w:rsid w:val="590C3F38"/>
    <w:rsid w:val="59113E8F"/>
    <w:rsid w:val="591356BC"/>
    <w:rsid w:val="59274E6C"/>
    <w:rsid w:val="59E76F9D"/>
    <w:rsid w:val="5A041CEE"/>
    <w:rsid w:val="5A186FFA"/>
    <w:rsid w:val="5A3C5F33"/>
    <w:rsid w:val="5A402035"/>
    <w:rsid w:val="5B17440C"/>
    <w:rsid w:val="5B6A56EF"/>
    <w:rsid w:val="5D080629"/>
    <w:rsid w:val="5D1754EC"/>
    <w:rsid w:val="5D250199"/>
    <w:rsid w:val="5DBD0F43"/>
    <w:rsid w:val="5DF247ED"/>
    <w:rsid w:val="5DFF6384"/>
    <w:rsid w:val="5E3963DF"/>
    <w:rsid w:val="5E8D144F"/>
    <w:rsid w:val="5EBE618D"/>
    <w:rsid w:val="5EC73C1E"/>
    <w:rsid w:val="5F1A1588"/>
    <w:rsid w:val="5F302394"/>
    <w:rsid w:val="5F7C6CD8"/>
    <w:rsid w:val="5F9321B9"/>
    <w:rsid w:val="5FE24771"/>
    <w:rsid w:val="60557474"/>
    <w:rsid w:val="606A689A"/>
    <w:rsid w:val="60C02F00"/>
    <w:rsid w:val="60F52A96"/>
    <w:rsid w:val="61410F69"/>
    <w:rsid w:val="61622956"/>
    <w:rsid w:val="620C282A"/>
    <w:rsid w:val="625C7861"/>
    <w:rsid w:val="62D243E1"/>
    <w:rsid w:val="635406FD"/>
    <w:rsid w:val="63AF33A4"/>
    <w:rsid w:val="63CD5372"/>
    <w:rsid w:val="64423036"/>
    <w:rsid w:val="64631E98"/>
    <w:rsid w:val="64B56A0E"/>
    <w:rsid w:val="64DF337A"/>
    <w:rsid w:val="64E1478C"/>
    <w:rsid w:val="65027F34"/>
    <w:rsid w:val="65773DF8"/>
    <w:rsid w:val="657C0856"/>
    <w:rsid w:val="65907257"/>
    <w:rsid w:val="65A1681E"/>
    <w:rsid w:val="65E11F9E"/>
    <w:rsid w:val="66211ABA"/>
    <w:rsid w:val="66875293"/>
    <w:rsid w:val="67117FE1"/>
    <w:rsid w:val="673757E3"/>
    <w:rsid w:val="67B01E32"/>
    <w:rsid w:val="67BE089D"/>
    <w:rsid w:val="67BF3DCB"/>
    <w:rsid w:val="67C46A25"/>
    <w:rsid w:val="68730F35"/>
    <w:rsid w:val="69277895"/>
    <w:rsid w:val="69C55B3B"/>
    <w:rsid w:val="69F80451"/>
    <w:rsid w:val="69F94379"/>
    <w:rsid w:val="6A1562D0"/>
    <w:rsid w:val="6A243239"/>
    <w:rsid w:val="6A593F4D"/>
    <w:rsid w:val="6A626AFD"/>
    <w:rsid w:val="6AC65DDE"/>
    <w:rsid w:val="6ADE0F0C"/>
    <w:rsid w:val="6B7238C8"/>
    <w:rsid w:val="6B9F2FF9"/>
    <w:rsid w:val="6BBD0D53"/>
    <w:rsid w:val="6C032DB7"/>
    <w:rsid w:val="6C322FEA"/>
    <w:rsid w:val="6C8E6031"/>
    <w:rsid w:val="6CBB15A3"/>
    <w:rsid w:val="6DB57DBD"/>
    <w:rsid w:val="6DFE71C5"/>
    <w:rsid w:val="6E096B84"/>
    <w:rsid w:val="6E215184"/>
    <w:rsid w:val="6EAA4F1E"/>
    <w:rsid w:val="6F925DE2"/>
    <w:rsid w:val="6FBB1164"/>
    <w:rsid w:val="6FD317CA"/>
    <w:rsid w:val="70103A87"/>
    <w:rsid w:val="70C628AE"/>
    <w:rsid w:val="71014D59"/>
    <w:rsid w:val="7184417B"/>
    <w:rsid w:val="71A03A74"/>
    <w:rsid w:val="72291C22"/>
    <w:rsid w:val="722E1D92"/>
    <w:rsid w:val="729B6425"/>
    <w:rsid w:val="734616BE"/>
    <w:rsid w:val="74731F94"/>
    <w:rsid w:val="75450369"/>
    <w:rsid w:val="75B7578F"/>
    <w:rsid w:val="75D76819"/>
    <w:rsid w:val="761C746C"/>
    <w:rsid w:val="76267072"/>
    <w:rsid w:val="76300E22"/>
    <w:rsid w:val="765B21F8"/>
    <w:rsid w:val="76A82314"/>
    <w:rsid w:val="76D14361"/>
    <w:rsid w:val="77611EB7"/>
    <w:rsid w:val="776469F9"/>
    <w:rsid w:val="780B2AD8"/>
    <w:rsid w:val="782243D4"/>
    <w:rsid w:val="783D65C6"/>
    <w:rsid w:val="789F49E8"/>
    <w:rsid w:val="78EC3EC4"/>
    <w:rsid w:val="7A041E22"/>
    <w:rsid w:val="7A606A12"/>
    <w:rsid w:val="7BAE4443"/>
    <w:rsid w:val="7C5217E4"/>
    <w:rsid w:val="7CF079AA"/>
    <w:rsid w:val="7D0B1938"/>
    <w:rsid w:val="7DFE2EEF"/>
    <w:rsid w:val="7E026FA4"/>
    <w:rsid w:val="7EA91464"/>
    <w:rsid w:val="7EDC261D"/>
    <w:rsid w:val="7F9D32E1"/>
    <w:rsid w:val="7FFFB4F4"/>
    <w:rsid w:val="B98F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jc w:val="left"/>
      <w:outlineLvl w:val="0"/>
    </w:pPr>
    <w:rPr>
      <w:b/>
      <w:bCs/>
      <w:kern w:val="44"/>
      <w:sz w:val="28"/>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unhideWhenUsed/>
    <w:qFormat/>
    <w:uiPriority w:val="99"/>
    <w:pPr>
      <w:suppressAutoHyphens/>
      <w:spacing w:after="120" w:line="480" w:lineRule="auto"/>
      <w:ind w:left="420"/>
    </w:pPr>
    <w:rPr>
      <w:kern w:val="1"/>
      <w:lang w:eastAsia="ar-SA"/>
    </w:rPr>
  </w:style>
  <w:style w:type="paragraph" w:styleId="5">
    <w:name w:val="Balloon Text"/>
    <w:basedOn w:val="1"/>
    <w:link w:val="19"/>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after="120"/>
      <w:jc w:val="left"/>
    </w:pPr>
    <w:rPr>
      <w:b/>
      <w:bCs/>
      <w:caps/>
      <w:sz w:val="28"/>
      <w:szCs w:val="20"/>
    </w:rPr>
  </w:style>
  <w:style w:type="paragraph" w:styleId="9">
    <w:name w:val="toc 4"/>
    <w:basedOn w:val="1"/>
    <w:next w:val="1"/>
    <w:qFormat/>
    <w:uiPriority w:val="39"/>
    <w:pPr>
      <w:tabs>
        <w:tab w:val="right" w:leader="dot" w:pos="8693"/>
      </w:tabs>
      <w:spacing w:line="300" w:lineRule="exact"/>
      <w:ind w:left="902"/>
      <w:jc w:val="left"/>
    </w:pPr>
    <w:rPr>
      <w:sz w:val="28"/>
      <w:szCs w:val="18"/>
    </w:rPr>
  </w:style>
  <w:style w:type="paragraph" w:styleId="10">
    <w:name w:val="toc 2"/>
    <w:basedOn w:val="1"/>
    <w:next w:val="1"/>
    <w:qFormat/>
    <w:uiPriority w:val="39"/>
    <w:pPr>
      <w:spacing w:line="300" w:lineRule="exact"/>
      <w:jc w:val="left"/>
    </w:pPr>
    <w:rPr>
      <w:smallCaps/>
      <w:sz w:val="28"/>
      <w:szCs w:val="20"/>
    </w:rPr>
  </w:style>
  <w:style w:type="paragraph" w:styleId="11">
    <w:name w:val="Title"/>
    <w:basedOn w:val="1"/>
    <w:next w:val="1"/>
    <w:qFormat/>
    <w:uiPriority w:val="10"/>
    <w:pPr>
      <w:jc w:val="left"/>
      <w:outlineLvl w:val="3"/>
    </w:pPr>
    <w:rPr>
      <w:rFonts w:ascii="Cambria" w:hAnsi="Cambria"/>
      <w:bCs/>
      <w:szCs w:val="32"/>
    </w:rPr>
  </w:style>
  <w:style w:type="table" w:styleId="13">
    <w:name w:val="Table Grid"/>
    <w:basedOn w:val="12"/>
    <w:qFormat/>
    <w:uiPriority w:val="3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unhideWhenUsed/>
    <w:qFormat/>
    <w:uiPriority w:val="99"/>
  </w:style>
  <w:style w:type="character" w:customStyle="1" w:styleId="17">
    <w:name w:val="页眉 Char"/>
    <w:basedOn w:val="14"/>
    <w:link w:val="7"/>
    <w:qFormat/>
    <w:uiPriority w:val="99"/>
    <w:rPr>
      <w:sz w:val="18"/>
      <w:szCs w:val="18"/>
    </w:rPr>
  </w:style>
  <w:style w:type="character" w:customStyle="1" w:styleId="18">
    <w:name w:val="页脚 Char"/>
    <w:basedOn w:val="14"/>
    <w:link w:val="6"/>
    <w:qFormat/>
    <w:uiPriority w:val="99"/>
    <w:rPr>
      <w:sz w:val="18"/>
      <w:szCs w:val="18"/>
    </w:rPr>
  </w:style>
  <w:style w:type="character" w:customStyle="1" w:styleId="19">
    <w:name w:val="批注框文本 Char"/>
    <w:basedOn w:val="14"/>
    <w:link w:val="5"/>
    <w:semiHidden/>
    <w:qFormat/>
    <w:uiPriority w:val="99"/>
    <w:rPr>
      <w:sz w:val="18"/>
      <w:szCs w:val="18"/>
    </w:rPr>
  </w:style>
  <w:style w:type="paragraph" w:customStyle="1" w:styleId="20">
    <w:name w:val="列出段落1"/>
    <w:basedOn w:val="1"/>
    <w:qFormat/>
    <w:uiPriority w:val="0"/>
    <w:pPr>
      <w:ind w:firstLine="420" w:firstLineChars="200"/>
    </w:pPr>
    <w:rPr>
      <w:rFonts w:ascii="Calibri" w:hAnsi="Calibri"/>
    </w:rPr>
  </w:style>
  <w:style w:type="character" w:customStyle="1" w:styleId="21">
    <w:name w:val="font11"/>
    <w:basedOn w:val="14"/>
    <w:qFormat/>
    <w:uiPriority w:val="0"/>
    <w:rPr>
      <w:rFonts w:hint="default" w:ascii="Times New Roman" w:hAnsi="Times New Roman" w:cs="Times New Roman"/>
      <w:color w:val="000000"/>
      <w:sz w:val="21"/>
      <w:szCs w:val="21"/>
      <w:u w:val="none"/>
    </w:rPr>
  </w:style>
  <w:style w:type="character" w:customStyle="1" w:styleId="22">
    <w:name w:val="font41"/>
    <w:basedOn w:val="14"/>
    <w:qFormat/>
    <w:uiPriority w:val="0"/>
    <w:rPr>
      <w:rFonts w:hint="default" w:ascii="楷体_GB2312" w:eastAsia="楷体_GB2312" w:cs="楷体_GB2312"/>
      <w:color w:val="000000"/>
      <w:sz w:val="21"/>
      <w:szCs w:val="21"/>
      <w:u w:val="none"/>
    </w:rPr>
  </w:style>
  <w:style w:type="character" w:customStyle="1" w:styleId="23">
    <w:name w:val="font21"/>
    <w:basedOn w:val="14"/>
    <w:qFormat/>
    <w:uiPriority w:val="0"/>
    <w:rPr>
      <w:rFonts w:hint="default" w:ascii="楷体_GB2312" w:eastAsia="楷体_GB2312" w:cs="楷体_GB2312"/>
      <w:b/>
      <w:color w:val="000000"/>
      <w:sz w:val="21"/>
      <w:szCs w:val="21"/>
      <w:u w:val="none"/>
    </w:rPr>
  </w:style>
  <w:style w:type="character" w:customStyle="1" w:styleId="24">
    <w:name w:val="font31"/>
    <w:basedOn w:val="14"/>
    <w:qFormat/>
    <w:uiPriority w:val="0"/>
    <w:rPr>
      <w:rFonts w:hint="default" w:ascii="Times New Roman" w:hAnsi="Times New Roman" w:cs="Times New Roman"/>
      <w:b/>
      <w:color w:val="000000"/>
      <w:sz w:val="21"/>
      <w:szCs w:val="21"/>
      <w:u w:val="none"/>
    </w:rPr>
  </w:style>
  <w:style w:type="character" w:customStyle="1" w:styleId="25">
    <w:name w:val="font01"/>
    <w:basedOn w:val="14"/>
    <w:qFormat/>
    <w:uiPriority w:val="0"/>
    <w:rPr>
      <w:rFonts w:hint="default" w:ascii="Times New Roman" w:hAnsi="Times New Roman" w:cs="Times New Roman"/>
      <w:color w:val="000000"/>
      <w:sz w:val="21"/>
      <w:szCs w:val="21"/>
      <w:u w:val="none"/>
    </w:rPr>
  </w:style>
  <w:style w:type="character" w:customStyle="1" w:styleId="26">
    <w:name w:val="font71"/>
    <w:basedOn w:val="1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10529</Words>
  <Characters>11140</Characters>
  <Lines>95</Lines>
  <Paragraphs>26</Paragraphs>
  <TotalTime>53</TotalTime>
  <ScaleCrop>false</ScaleCrop>
  <LinksUpToDate>false</LinksUpToDate>
  <CharactersWithSpaces>11277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2019-08-21T05:49:00Z</dcterms:created>
  <dc:creator>kuaiji huazhong</dc:creator>
  <cp:lastModifiedBy>WPS_1756696973</cp:lastModifiedBy>
  <cp:lastPrinted>2019-08-21T07:39:00Z</cp:lastPrinted>
  <dcterms:modified xsi:type="dcterms:W3CDTF">2025-11-20T07:44:00Z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eyJoZGlkIjoiZGE0ZGY4NWUyNWJjN2YzNjc0MjAyNmFhZTA2MzdkYWEiLCJ1c2VySWQiOiIxNzM1MDU5NzczIn0=</vt:lpwstr>
  </property>
  <property fmtid="{D5CDD505-2E9C-101B-9397-08002B2CF9AE}" pid="4" name="ICV">
    <vt:lpwstr>F418940009AE42609EEB097CE5869C23_13</vt:lpwstr>
  </property>
</Properties>
</file>