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硚口区人资局重大行政执法决定法制</w:t>
      </w:r>
    </w:p>
    <w:p>
      <w:pPr>
        <w:ind w:firstLine="442" w:firstLineChars="100"/>
        <w:jc w:val="center"/>
        <w:rPr>
          <w:rFonts w:cs="Times New Roman"/>
          <w:szCs w:val="30"/>
        </w:rPr>
      </w:pPr>
      <w:r>
        <w:rPr>
          <w:rFonts w:hint="eastAsia" w:ascii="方正小标宋简体" w:hAnsi="方正小标宋简体" w:eastAsia="方正小标宋简体" w:cs="方正小标宋简体"/>
          <w:b/>
          <w:bCs/>
          <w:kern w:val="2"/>
          <w:sz w:val="44"/>
          <w:szCs w:val="44"/>
          <w:lang w:val="en-US" w:eastAsia="zh-CN" w:bidi="ar-SA"/>
        </w:rPr>
        <w:t>审核办法</w:t>
      </w:r>
    </w:p>
    <w:p>
      <w:pPr>
        <w:keepNext w:val="0"/>
        <w:keepLines w:val="0"/>
        <w:pageBreakBefore w:val="0"/>
        <w:widowControl w:val="0"/>
        <w:kinsoku/>
        <w:wordWrap/>
        <w:overflowPunct/>
        <w:topLinePunct w:val="0"/>
        <w:autoSpaceDE/>
        <w:autoSpaceDN/>
        <w:bidi w:val="0"/>
        <w:adjustRightInd/>
        <w:snapToGrid/>
        <w:spacing w:line="700" w:lineRule="exact"/>
        <w:ind w:firstLine="602"/>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第一条</w:t>
      </w:r>
      <w:r>
        <w:rPr>
          <w:rFonts w:hint="eastAsia" w:ascii="仿宋" w:hAnsi="仿宋" w:eastAsia="仿宋" w:cs="仿宋"/>
          <w:b w:val="0"/>
          <w:bCs w:val="0"/>
          <w:kern w:val="2"/>
          <w:sz w:val="32"/>
          <w:szCs w:val="32"/>
          <w:lang w:val="en-US" w:eastAsia="zh-CN" w:bidi="ar-SA"/>
        </w:rPr>
        <w:t>　为保障行政执法决定合法性，促进严格、规范、公正、文明执法，根据</w:t>
      </w:r>
      <w:r>
        <w:rPr>
          <w:rFonts w:hint="eastAsia" w:ascii="仿宋" w:hAnsi="仿宋" w:eastAsia="仿宋" w:cs="仿宋"/>
          <w:b w:val="0"/>
          <w:bCs w:val="0"/>
          <w:sz w:val="32"/>
          <w:szCs w:val="32"/>
          <w:lang w:eastAsia="zh-CN"/>
        </w:rPr>
        <w:t>《国务院办公厅关于全面推行行政执法公示制度执法全过程记录制度重大执法决定法制审核制度的指导意见》（国办发〔2018〕118号）、</w:t>
      </w:r>
      <w:r>
        <w:rPr>
          <w:rFonts w:hint="eastAsia" w:ascii="仿宋" w:hAnsi="仿宋" w:eastAsia="仿宋" w:cs="仿宋"/>
          <w:b w:val="0"/>
          <w:bCs w:val="0"/>
          <w:kern w:val="2"/>
          <w:sz w:val="32"/>
          <w:szCs w:val="32"/>
          <w:lang w:val="en-US" w:eastAsia="zh-CN" w:bidi="ar-SA"/>
        </w:rPr>
        <w:t>《湖北省重大行政执法决定</w:t>
      </w:r>
      <w:r>
        <w:rPr>
          <w:rFonts w:hint="eastAsia" w:ascii="仿宋" w:hAnsi="仿宋" w:eastAsia="仿宋" w:cs="仿宋"/>
          <w:b w:val="0"/>
          <w:bCs w:val="0"/>
          <w:sz w:val="32"/>
          <w:szCs w:val="32"/>
          <w:lang w:val="en-US" w:eastAsia="zh-CN"/>
        </w:rPr>
        <w:t>法制审核办法（试行）》（鄂法办发〔2019〕7号）、《武汉市重大行政执法决定法制审核办法》等规定，结合工作实际，制定本办法。</w:t>
      </w:r>
    </w:p>
    <w:p>
      <w:pPr>
        <w:keepNext w:val="0"/>
        <w:keepLines w:val="0"/>
        <w:pageBreakBefore w:val="0"/>
        <w:widowControl w:val="0"/>
        <w:kinsoku/>
        <w:wordWrap/>
        <w:overflowPunct/>
        <w:topLinePunct w:val="0"/>
        <w:autoSpaceDE/>
        <w:autoSpaceDN/>
        <w:bidi w:val="0"/>
        <w:adjustRightInd/>
        <w:snapToGrid/>
        <w:spacing w:line="700" w:lineRule="exact"/>
        <w:ind w:firstLine="602"/>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kern w:val="2"/>
          <w:sz w:val="32"/>
          <w:szCs w:val="32"/>
          <w:lang w:val="en-US" w:eastAsia="zh-CN" w:bidi="ar-SA"/>
        </w:rPr>
        <w:t>第二条</w:t>
      </w:r>
      <w:r>
        <w:rPr>
          <w:rFonts w:hint="eastAsia" w:ascii="仿宋" w:hAnsi="仿宋" w:eastAsia="仿宋" w:cs="仿宋"/>
          <w:b w:val="0"/>
          <w:bCs w:val="0"/>
          <w:sz w:val="32"/>
          <w:szCs w:val="32"/>
          <w:lang w:eastAsia="zh-CN"/>
        </w:rPr>
        <w:t>　本单位</w:t>
      </w:r>
      <w:r>
        <w:rPr>
          <w:rFonts w:hint="eastAsia" w:ascii="仿宋" w:hAnsi="仿宋" w:eastAsia="仿宋" w:cs="仿宋"/>
          <w:b w:val="0"/>
          <w:bCs w:val="0"/>
          <w:sz w:val="32"/>
          <w:szCs w:val="32"/>
        </w:rPr>
        <w:t>具有行政执法权、法律法规授权组织</w:t>
      </w:r>
      <w:r>
        <w:rPr>
          <w:rFonts w:hint="eastAsia" w:ascii="仿宋" w:hAnsi="仿宋" w:eastAsia="仿宋" w:cs="仿宋"/>
          <w:b w:val="0"/>
          <w:bCs w:val="0"/>
          <w:sz w:val="32"/>
          <w:szCs w:val="32"/>
          <w:lang w:eastAsia="zh-CN"/>
        </w:rPr>
        <w:t>、依法经批准行使相对集中执法权的组织</w:t>
      </w:r>
      <w:r>
        <w:rPr>
          <w:rFonts w:hint="eastAsia" w:ascii="仿宋" w:hAnsi="仿宋" w:eastAsia="仿宋" w:cs="仿宋"/>
          <w:b w:val="0"/>
          <w:bCs w:val="0"/>
          <w:sz w:val="32"/>
          <w:szCs w:val="32"/>
        </w:rPr>
        <w:t>或者依法受委托的组织</w:t>
      </w:r>
      <w:r>
        <w:rPr>
          <w:rFonts w:hint="eastAsia" w:ascii="仿宋" w:hAnsi="仿宋" w:eastAsia="仿宋" w:cs="仿宋"/>
          <w:b w:val="0"/>
          <w:bCs w:val="0"/>
          <w:sz w:val="32"/>
          <w:szCs w:val="32"/>
          <w:lang w:eastAsia="zh-CN"/>
        </w:rPr>
        <w:t>进行重大行政执法决定法制审核适用本办法。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第三条</w:t>
      </w:r>
      <w:r>
        <w:rPr>
          <w:rFonts w:hint="eastAsia" w:ascii="仿宋" w:hAnsi="仿宋" w:eastAsia="仿宋" w:cs="仿宋"/>
          <w:b w:val="0"/>
          <w:bCs w:val="0"/>
          <w:sz w:val="32"/>
          <w:szCs w:val="32"/>
          <w:lang w:val="en-US" w:eastAsia="zh-CN"/>
        </w:rPr>
        <w:t xml:space="preserve">  下列行政许可决定属于重大行政执法决定：</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采取招标、拍卖等方式作出的许可决定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sz w:val="32"/>
          <w:szCs w:val="32"/>
          <w:lang w:eastAsia="zh-CN"/>
        </w:rPr>
        <w:t>经过听证作出的许可决定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（三）</w:t>
      </w:r>
      <w:r>
        <w:rPr>
          <w:rFonts w:hint="eastAsia" w:ascii="仿宋" w:hAnsi="仿宋" w:eastAsia="仿宋" w:cs="仿宋"/>
          <w:b w:val="0"/>
          <w:bCs w:val="0"/>
          <w:sz w:val="32"/>
          <w:szCs w:val="32"/>
          <w:lang w:eastAsia="zh-CN"/>
        </w:rPr>
        <w:t>撤回或者撤销行政许可的决定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（四）</w:t>
      </w:r>
      <w:r>
        <w:rPr>
          <w:rFonts w:hint="eastAsia" w:ascii="仿宋" w:hAnsi="仿宋" w:eastAsia="仿宋" w:cs="仿宋"/>
          <w:b w:val="0"/>
          <w:bCs w:val="0"/>
          <w:sz w:val="32"/>
          <w:szCs w:val="32"/>
          <w:lang w:eastAsia="zh-CN"/>
        </w:rPr>
        <w:t>行政执法机关认为属于重大的其他行政许可决定。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第四条</w:t>
      </w:r>
      <w:r>
        <w:rPr>
          <w:rFonts w:hint="eastAsia" w:ascii="仿宋" w:hAnsi="仿宋" w:eastAsia="仿宋" w:cs="仿宋"/>
          <w:b w:val="0"/>
          <w:bCs w:val="0"/>
          <w:sz w:val="32"/>
          <w:szCs w:val="32"/>
          <w:lang w:val="en-US" w:eastAsia="zh-CN"/>
        </w:rPr>
        <w:t xml:space="preserve">  下列行政处罚决定属于重大行政执法决定：</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暂扣、吊销营业执照或者许可证件的决定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sz w:val="32"/>
          <w:szCs w:val="32"/>
          <w:lang w:eastAsia="zh-CN"/>
        </w:rPr>
        <w:t>责令停产停业的决定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02"/>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val="0"/>
          <w:bCs w:val="0"/>
          <w:sz w:val="32"/>
          <w:szCs w:val="32"/>
          <w:lang w:eastAsia="zh-CN"/>
        </w:rPr>
        <w:t>因案情复杂或者罚款数额较大需要提请行政机关负责人集体讨论作出的决定</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02"/>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（四）行政行为相对人、利害关系人人数较多的案件；</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行政执法机关认为属于重大的其他行政处罚决定。</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第五条</w:t>
      </w:r>
      <w:r>
        <w:rPr>
          <w:rFonts w:hint="eastAsia" w:ascii="仿宋" w:hAnsi="仿宋" w:eastAsia="仿宋" w:cs="仿宋"/>
          <w:b w:val="0"/>
          <w:bCs w:val="0"/>
          <w:sz w:val="32"/>
          <w:szCs w:val="32"/>
          <w:lang w:val="en-US" w:eastAsia="zh-CN"/>
        </w:rPr>
        <w:t xml:space="preserve">  行政执法机关向公安机关移送涉嫌犯罪案件或者向监察机关移送涉嫌职务违法、职务犯罪案件的决定，属于重大执法决定。</w:t>
      </w:r>
    </w:p>
    <w:p>
      <w:pPr>
        <w:keepNext w:val="0"/>
        <w:keepLines w:val="0"/>
        <w:pageBreakBefore w:val="0"/>
        <w:widowControl w:val="0"/>
        <w:kinsoku/>
        <w:wordWrap/>
        <w:overflowPunct/>
        <w:topLinePunct w:val="0"/>
        <w:autoSpaceDE/>
        <w:autoSpaceDN/>
        <w:bidi w:val="0"/>
        <w:adjustRightInd/>
        <w:snapToGrid/>
        <w:spacing w:line="700" w:lineRule="exact"/>
        <w:ind w:firstLine="6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国家部委对行政确认、行政给付、行政收费、行政裁决、行政奖励等重大执法决定的范围有明确规定的，从其规定；没有明确规定的，由各行政执法机关自行确定。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第六条</w:t>
      </w:r>
      <w:r>
        <w:rPr>
          <w:rFonts w:hint="eastAsia" w:ascii="仿宋" w:hAnsi="仿宋" w:eastAsia="仿宋" w:cs="仿宋"/>
          <w:b w:val="0"/>
          <w:bCs w:val="0"/>
          <w:sz w:val="32"/>
          <w:szCs w:val="32"/>
          <w:lang w:val="en-US" w:eastAsia="zh-CN"/>
        </w:rPr>
        <w:t xml:space="preserve">   制定本机关重大行政执法决定事项目录，报同级人民政府司法行政部门备案。因法律变更、机构职能调整等原因需要对目录进行调整的，应当及时调整并重新备案。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kern w:val="2"/>
          <w:sz w:val="32"/>
          <w:szCs w:val="32"/>
          <w:lang w:val="en-US" w:eastAsia="zh-CN" w:bidi="ar-SA"/>
        </w:rPr>
        <w:t>第七条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sz w:val="32"/>
          <w:szCs w:val="32"/>
        </w:rPr>
        <w:t>本办法自</w:t>
      </w:r>
      <w:r>
        <w:rPr>
          <w:rFonts w:hint="eastAsia" w:ascii="仿宋" w:hAnsi="仿宋" w:eastAsia="仿宋" w:cs="仿宋"/>
          <w:b w:val="0"/>
          <w:bCs w:val="0"/>
          <w:color w:val="auto"/>
          <w:sz w:val="32"/>
          <w:szCs w:val="32"/>
          <w:lang w:eastAsia="zh-CN"/>
        </w:rPr>
        <w:t>制定之日</w:t>
      </w:r>
      <w:r>
        <w:rPr>
          <w:rFonts w:hint="eastAsia" w:ascii="仿宋" w:hAnsi="仿宋" w:eastAsia="仿宋" w:cs="仿宋"/>
          <w:b w:val="0"/>
          <w:bCs w:val="0"/>
          <w:color w:val="auto"/>
          <w:sz w:val="32"/>
          <w:szCs w:val="32"/>
          <w:lang w:val="en-US" w:eastAsia="zh-CN"/>
        </w:rPr>
        <w:t>起</w:t>
      </w:r>
      <w:r>
        <w:rPr>
          <w:rFonts w:hint="eastAsia" w:ascii="仿宋" w:hAnsi="仿宋" w:eastAsia="仿宋" w:cs="仿宋"/>
          <w:b w:val="0"/>
          <w:bCs w:val="0"/>
          <w:color w:val="auto"/>
          <w:sz w:val="32"/>
          <w:szCs w:val="32"/>
          <w:lang w:eastAsia="zh-CN"/>
        </w:rPr>
        <w:t>实施</w:t>
      </w:r>
      <w:r>
        <w:rPr>
          <w:rFonts w:hint="eastAsia" w:ascii="仿宋" w:hAnsi="仿宋" w:eastAsia="仿宋" w:cs="仿宋"/>
          <w:b w:val="0"/>
          <w:bCs w:val="0"/>
          <w:color w:val="auto"/>
          <w:sz w:val="32"/>
          <w:szCs w:val="32"/>
        </w:rPr>
        <w:t>。</w:t>
      </w:r>
    </w:p>
    <w:p>
      <w:pPr>
        <w:jc w:val="righ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硚口区人力资源局</w:t>
      </w:r>
    </w:p>
    <w:p>
      <w:pPr>
        <w:jc w:val="right"/>
        <w:rPr>
          <w:rFonts w:hint="eastAsia"/>
        </w:rPr>
      </w:pPr>
      <w:r>
        <w:rPr>
          <w:rFonts w:hint="eastAsia" w:ascii="仿宋" w:hAnsi="仿宋" w:eastAsia="仿宋" w:cs="仿宋"/>
          <w:b w:val="0"/>
          <w:bCs w:val="0"/>
          <w:sz w:val="32"/>
          <w:szCs w:val="32"/>
          <w:lang w:val="en-US" w:eastAsia="zh-CN"/>
        </w:rPr>
        <w:t>2019年9月20日</w:t>
      </w:r>
    </w:p>
    <w:p>
      <w:pPr>
        <w:rPr>
          <w:rFonts w:cs="Times New Roman"/>
          <w:szCs w:val="30"/>
        </w:rPr>
      </w:pPr>
    </w:p>
    <w:p>
      <w:pPr>
        <w:rPr>
          <w:rFonts w:cs="Times New Roman"/>
          <w:szCs w:val="30"/>
        </w:rPr>
      </w:pPr>
      <w:bookmarkStart w:id="0" w:name="_GoBack"/>
      <w:bookmarkEnd w:id="0"/>
    </w:p>
    <w:p>
      <w:pPr>
        <w:rPr>
          <w:rFonts w:cs="Times New Roman"/>
          <w:szCs w:val="30"/>
        </w:rPr>
      </w:pPr>
    </w:p>
    <w:p>
      <w:pPr>
        <w:keepNext w:val="0"/>
        <w:keepLines w:val="0"/>
        <w:pageBreakBefore w:val="0"/>
        <w:widowControl w:val="0"/>
        <w:kinsoku/>
        <w:wordWrap/>
        <w:overflowPunct/>
        <w:topLinePunct w:val="0"/>
        <w:autoSpaceDE/>
        <w:autoSpaceDN/>
        <w:bidi w:val="0"/>
        <w:adjustRightInd/>
        <w:snapToGrid/>
        <w:spacing w:line="14" w:lineRule="exact"/>
        <w:textAlignment w:val="auto"/>
        <w:outlineLvl w:val="9"/>
        <w:rPr>
          <w:rFonts w:cs="Times New Roman"/>
          <w:szCs w:val="30"/>
        </w:rPr>
      </w:pPr>
    </w:p>
    <w:p>
      <w:pPr>
        <w:keepNext w:val="0"/>
        <w:keepLines w:val="0"/>
        <w:pageBreakBefore w:val="0"/>
        <w:widowControl w:val="0"/>
        <w:kinsoku/>
        <w:wordWrap/>
        <w:overflowPunct/>
        <w:topLinePunct w:val="0"/>
        <w:autoSpaceDE/>
        <w:autoSpaceDN/>
        <w:bidi w:val="0"/>
        <w:adjustRightInd/>
        <w:snapToGrid/>
        <w:spacing w:line="14" w:lineRule="exact"/>
        <w:textAlignment w:val="auto"/>
        <w:outlineLvl w:val="9"/>
        <w:rPr>
          <w:rFonts w:cs="Times New Roman"/>
          <w:szCs w:val="30"/>
        </w:rPr>
      </w:pPr>
    </w:p>
    <w:p>
      <w:pPr>
        <w:keepNext w:val="0"/>
        <w:keepLines w:val="0"/>
        <w:pageBreakBefore w:val="0"/>
        <w:widowControl w:val="0"/>
        <w:kinsoku/>
        <w:wordWrap/>
        <w:overflowPunct/>
        <w:topLinePunct w:val="0"/>
        <w:autoSpaceDE/>
        <w:autoSpaceDN/>
        <w:bidi w:val="0"/>
        <w:adjustRightInd/>
        <w:snapToGrid/>
        <w:spacing w:line="14" w:lineRule="exact"/>
        <w:textAlignment w:val="auto"/>
        <w:outlineLvl w:val="9"/>
        <w:rPr>
          <w:rFonts w:cs="Times New Roman"/>
          <w:szCs w:val="30"/>
        </w:rPr>
      </w:pPr>
    </w:p>
    <w:sectPr>
      <w:footerReference r:id="rId3" w:type="default"/>
      <w:pgSz w:w="11906" w:h="16838"/>
      <w:pgMar w:top="2098"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648143"/>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11648143"/>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A5"/>
    <w:rsid w:val="00006F62"/>
    <w:rsid w:val="00020B8B"/>
    <w:rsid w:val="0002242A"/>
    <w:rsid w:val="000731A5"/>
    <w:rsid w:val="000C601E"/>
    <w:rsid w:val="001A2CA6"/>
    <w:rsid w:val="002831A8"/>
    <w:rsid w:val="002D35CC"/>
    <w:rsid w:val="002F4D11"/>
    <w:rsid w:val="00367F9C"/>
    <w:rsid w:val="004402FC"/>
    <w:rsid w:val="00460388"/>
    <w:rsid w:val="004C23B2"/>
    <w:rsid w:val="00580D9B"/>
    <w:rsid w:val="00623638"/>
    <w:rsid w:val="00647142"/>
    <w:rsid w:val="00686D65"/>
    <w:rsid w:val="00763E62"/>
    <w:rsid w:val="007A63EB"/>
    <w:rsid w:val="00853FAE"/>
    <w:rsid w:val="00866944"/>
    <w:rsid w:val="008C7DDB"/>
    <w:rsid w:val="00C3216E"/>
    <w:rsid w:val="00C37A84"/>
    <w:rsid w:val="00D1706F"/>
    <w:rsid w:val="00DB1390"/>
    <w:rsid w:val="00DD0B63"/>
    <w:rsid w:val="00DE3AEC"/>
    <w:rsid w:val="00DE6D66"/>
    <w:rsid w:val="00E80D7F"/>
    <w:rsid w:val="00EA24AD"/>
    <w:rsid w:val="00FF31A4"/>
    <w:rsid w:val="01194962"/>
    <w:rsid w:val="012F62B9"/>
    <w:rsid w:val="01615BD8"/>
    <w:rsid w:val="017D0B57"/>
    <w:rsid w:val="01CC5DD5"/>
    <w:rsid w:val="01E477F2"/>
    <w:rsid w:val="029F3847"/>
    <w:rsid w:val="02DD4ED5"/>
    <w:rsid w:val="03073B55"/>
    <w:rsid w:val="03632A78"/>
    <w:rsid w:val="03755415"/>
    <w:rsid w:val="03801C6E"/>
    <w:rsid w:val="03D45F9A"/>
    <w:rsid w:val="03D577F6"/>
    <w:rsid w:val="03EC2255"/>
    <w:rsid w:val="04FD791B"/>
    <w:rsid w:val="05251C56"/>
    <w:rsid w:val="0538213A"/>
    <w:rsid w:val="054D7B24"/>
    <w:rsid w:val="088242D5"/>
    <w:rsid w:val="08E42C92"/>
    <w:rsid w:val="08E84C14"/>
    <w:rsid w:val="09295322"/>
    <w:rsid w:val="09567657"/>
    <w:rsid w:val="0995039F"/>
    <w:rsid w:val="099D06F7"/>
    <w:rsid w:val="0A12272E"/>
    <w:rsid w:val="0A17083B"/>
    <w:rsid w:val="0AA75DAD"/>
    <w:rsid w:val="0AC47BF5"/>
    <w:rsid w:val="0B095A03"/>
    <w:rsid w:val="0B6D397D"/>
    <w:rsid w:val="0BEF7376"/>
    <w:rsid w:val="0C270938"/>
    <w:rsid w:val="0C7A4286"/>
    <w:rsid w:val="0CDC5589"/>
    <w:rsid w:val="0D1F5E14"/>
    <w:rsid w:val="0E04011B"/>
    <w:rsid w:val="0E055E40"/>
    <w:rsid w:val="0E4375DE"/>
    <w:rsid w:val="0EB95901"/>
    <w:rsid w:val="0FB47F19"/>
    <w:rsid w:val="0FE643E3"/>
    <w:rsid w:val="10F529A6"/>
    <w:rsid w:val="11111971"/>
    <w:rsid w:val="115B0F18"/>
    <w:rsid w:val="118E3EF4"/>
    <w:rsid w:val="11B01A34"/>
    <w:rsid w:val="11F057B5"/>
    <w:rsid w:val="122A41EC"/>
    <w:rsid w:val="12F26579"/>
    <w:rsid w:val="13B03793"/>
    <w:rsid w:val="14515D08"/>
    <w:rsid w:val="146A7F8B"/>
    <w:rsid w:val="1498165D"/>
    <w:rsid w:val="14E71E02"/>
    <w:rsid w:val="152E3830"/>
    <w:rsid w:val="15720ED2"/>
    <w:rsid w:val="15A534CE"/>
    <w:rsid w:val="15A87D25"/>
    <w:rsid w:val="15DF7437"/>
    <w:rsid w:val="161B21FC"/>
    <w:rsid w:val="18005D56"/>
    <w:rsid w:val="1805126E"/>
    <w:rsid w:val="180C0DFA"/>
    <w:rsid w:val="18D00698"/>
    <w:rsid w:val="191A6644"/>
    <w:rsid w:val="19955FB1"/>
    <w:rsid w:val="19DC27FC"/>
    <w:rsid w:val="19E02524"/>
    <w:rsid w:val="1A63178A"/>
    <w:rsid w:val="1A6629BB"/>
    <w:rsid w:val="1A902EC1"/>
    <w:rsid w:val="1AAC1A65"/>
    <w:rsid w:val="1B495DA4"/>
    <w:rsid w:val="1B656859"/>
    <w:rsid w:val="1BB50CF0"/>
    <w:rsid w:val="1C8D2705"/>
    <w:rsid w:val="1D93120D"/>
    <w:rsid w:val="1DF10868"/>
    <w:rsid w:val="1E227106"/>
    <w:rsid w:val="1EFC6E0C"/>
    <w:rsid w:val="1F146A53"/>
    <w:rsid w:val="1F165C13"/>
    <w:rsid w:val="1F384D70"/>
    <w:rsid w:val="1F7B3322"/>
    <w:rsid w:val="1FFD0565"/>
    <w:rsid w:val="20487617"/>
    <w:rsid w:val="20FC38C2"/>
    <w:rsid w:val="21601CB6"/>
    <w:rsid w:val="218B2E28"/>
    <w:rsid w:val="219C1C46"/>
    <w:rsid w:val="21C70E18"/>
    <w:rsid w:val="21DA446B"/>
    <w:rsid w:val="220225D5"/>
    <w:rsid w:val="224A7DBF"/>
    <w:rsid w:val="22AA783F"/>
    <w:rsid w:val="22E31D65"/>
    <w:rsid w:val="23030D64"/>
    <w:rsid w:val="242B5C1D"/>
    <w:rsid w:val="2534228B"/>
    <w:rsid w:val="254E28FB"/>
    <w:rsid w:val="25677E8F"/>
    <w:rsid w:val="258151EC"/>
    <w:rsid w:val="258D4EFB"/>
    <w:rsid w:val="26BB31F0"/>
    <w:rsid w:val="26D311DC"/>
    <w:rsid w:val="26F93D32"/>
    <w:rsid w:val="272F6750"/>
    <w:rsid w:val="27373CF7"/>
    <w:rsid w:val="277B6A9B"/>
    <w:rsid w:val="286D2709"/>
    <w:rsid w:val="288B7C0E"/>
    <w:rsid w:val="28C465CF"/>
    <w:rsid w:val="2B371428"/>
    <w:rsid w:val="2B7076ED"/>
    <w:rsid w:val="2B897CB5"/>
    <w:rsid w:val="2CDB135C"/>
    <w:rsid w:val="2D336EB0"/>
    <w:rsid w:val="2E193223"/>
    <w:rsid w:val="2E906B11"/>
    <w:rsid w:val="2FC452F2"/>
    <w:rsid w:val="301824C3"/>
    <w:rsid w:val="305043CD"/>
    <w:rsid w:val="30E8379B"/>
    <w:rsid w:val="310D7269"/>
    <w:rsid w:val="31680868"/>
    <w:rsid w:val="317B3340"/>
    <w:rsid w:val="319D09D9"/>
    <w:rsid w:val="31BB1A3B"/>
    <w:rsid w:val="32E15A4A"/>
    <w:rsid w:val="32EF200B"/>
    <w:rsid w:val="33002ACB"/>
    <w:rsid w:val="330530BF"/>
    <w:rsid w:val="33AB1169"/>
    <w:rsid w:val="346E037B"/>
    <w:rsid w:val="348213E2"/>
    <w:rsid w:val="35262CEA"/>
    <w:rsid w:val="353673EA"/>
    <w:rsid w:val="35545C63"/>
    <w:rsid w:val="356E4089"/>
    <w:rsid w:val="35F6129D"/>
    <w:rsid w:val="36486097"/>
    <w:rsid w:val="365E7028"/>
    <w:rsid w:val="36682679"/>
    <w:rsid w:val="36A84762"/>
    <w:rsid w:val="37B8269F"/>
    <w:rsid w:val="37B879F3"/>
    <w:rsid w:val="37C9546F"/>
    <w:rsid w:val="38C72A4D"/>
    <w:rsid w:val="38FD390F"/>
    <w:rsid w:val="393D27C6"/>
    <w:rsid w:val="39815433"/>
    <w:rsid w:val="3A730479"/>
    <w:rsid w:val="3AE31DAF"/>
    <w:rsid w:val="3B58233E"/>
    <w:rsid w:val="3B721ED1"/>
    <w:rsid w:val="3B75294A"/>
    <w:rsid w:val="3B867BED"/>
    <w:rsid w:val="3C2B3E1A"/>
    <w:rsid w:val="3C995284"/>
    <w:rsid w:val="3CB55A59"/>
    <w:rsid w:val="3D307681"/>
    <w:rsid w:val="3D4808BF"/>
    <w:rsid w:val="3E3F4F99"/>
    <w:rsid w:val="3EE643ED"/>
    <w:rsid w:val="3EEE06F3"/>
    <w:rsid w:val="3F1D369E"/>
    <w:rsid w:val="3F37040D"/>
    <w:rsid w:val="3F384D03"/>
    <w:rsid w:val="3F753162"/>
    <w:rsid w:val="3FF1226E"/>
    <w:rsid w:val="40305697"/>
    <w:rsid w:val="40EE5137"/>
    <w:rsid w:val="41784BD3"/>
    <w:rsid w:val="42BF2385"/>
    <w:rsid w:val="430B4287"/>
    <w:rsid w:val="43235C04"/>
    <w:rsid w:val="43434FF2"/>
    <w:rsid w:val="4382144F"/>
    <w:rsid w:val="43B56D7C"/>
    <w:rsid w:val="443002C2"/>
    <w:rsid w:val="44AA7B58"/>
    <w:rsid w:val="455141AB"/>
    <w:rsid w:val="45DF7D27"/>
    <w:rsid w:val="4685678A"/>
    <w:rsid w:val="46A92F41"/>
    <w:rsid w:val="46AB0F9B"/>
    <w:rsid w:val="46C02575"/>
    <w:rsid w:val="46D468B1"/>
    <w:rsid w:val="46F53CCA"/>
    <w:rsid w:val="474D5C0E"/>
    <w:rsid w:val="477339B3"/>
    <w:rsid w:val="47E46BF7"/>
    <w:rsid w:val="47EB5B87"/>
    <w:rsid w:val="48320A83"/>
    <w:rsid w:val="48442BA3"/>
    <w:rsid w:val="489A4AD0"/>
    <w:rsid w:val="492D6261"/>
    <w:rsid w:val="49444AA1"/>
    <w:rsid w:val="49A910CE"/>
    <w:rsid w:val="4A0843E5"/>
    <w:rsid w:val="4A335C0D"/>
    <w:rsid w:val="4A6824D0"/>
    <w:rsid w:val="4A6D3CCE"/>
    <w:rsid w:val="4AA010B1"/>
    <w:rsid w:val="4ACA132B"/>
    <w:rsid w:val="4AE40D6D"/>
    <w:rsid w:val="4AEB4A17"/>
    <w:rsid w:val="4B4B377F"/>
    <w:rsid w:val="4B6F3CDA"/>
    <w:rsid w:val="4BD635FB"/>
    <w:rsid w:val="4CB80C7E"/>
    <w:rsid w:val="4D021775"/>
    <w:rsid w:val="4DBE7133"/>
    <w:rsid w:val="4DBF1DC1"/>
    <w:rsid w:val="4DD441BA"/>
    <w:rsid w:val="4E243EB4"/>
    <w:rsid w:val="4E5561BB"/>
    <w:rsid w:val="4E6C0103"/>
    <w:rsid w:val="4E72003D"/>
    <w:rsid w:val="4ED43850"/>
    <w:rsid w:val="4F9D0ABA"/>
    <w:rsid w:val="4FF63D24"/>
    <w:rsid w:val="50486B73"/>
    <w:rsid w:val="508E42E8"/>
    <w:rsid w:val="50CA0F60"/>
    <w:rsid w:val="511B024A"/>
    <w:rsid w:val="51810BE7"/>
    <w:rsid w:val="52305D51"/>
    <w:rsid w:val="52401B9F"/>
    <w:rsid w:val="526561BF"/>
    <w:rsid w:val="52B77B94"/>
    <w:rsid w:val="52D030C4"/>
    <w:rsid w:val="52D07B62"/>
    <w:rsid w:val="53706644"/>
    <w:rsid w:val="53AB4333"/>
    <w:rsid w:val="53B80B91"/>
    <w:rsid w:val="540218FA"/>
    <w:rsid w:val="548B5B89"/>
    <w:rsid w:val="55432D5F"/>
    <w:rsid w:val="559B7DB5"/>
    <w:rsid w:val="559F232A"/>
    <w:rsid w:val="55A262E9"/>
    <w:rsid w:val="56520B5A"/>
    <w:rsid w:val="565369A6"/>
    <w:rsid w:val="56950A2B"/>
    <w:rsid w:val="570C5326"/>
    <w:rsid w:val="57546DA9"/>
    <w:rsid w:val="579C1F4E"/>
    <w:rsid w:val="57B7166A"/>
    <w:rsid w:val="585C38BD"/>
    <w:rsid w:val="5A084375"/>
    <w:rsid w:val="5A262565"/>
    <w:rsid w:val="5A643E23"/>
    <w:rsid w:val="5AE06B04"/>
    <w:rsid w:val="5AE34290"/>
    <w:rsid w:val="5AE365ED"/>
    <w:rsid w:val="5B26297F"/>
    <w:rsid w:val="5B2D0BC8"/>
    <w:rsid w:val="5B8F39EF"/>
    <w:rsid w:val="5D8D7C3D"/>
    <w:rsid w:val="5DB07EB9"/>
    <w:rsid w:val="5E0A0F70"/>
    <w:rsid w:val="5E9425CB"/>
    <w:rsid w:val="5EF77610"/>
    <w:rsid w:val="5F5D6667"/>
    <w:rsid w:val="5FD904ED"/>
    <w:rsid w:val="606175F6"/>
    <w:rsid w:val="6079390F"/>
    <w:rsid w:val="61886BEF"/>
    <w:rsid w:val="61996586"/>
    <w:rsid w:val="619E7AA9"/>
    <w:rsid w:val="627D5D5C"/>
    <w:rsid w:val="628E5449"/>
    <w:rsid w:val="62A23DC0"/>
    <w:rsid w:val="632F53E7"/>
    <w:rsid w:val="63530853"/>
    <w:rsid w:val="63576935"/>
    <w:rsid w:val="6372310E"/>
    <w:rsid w:val="639231D3"/>
    <w:rsid w:val="64160F16"/>
    <w:rsid w:val="64907C75"/>
    <w:rsid w:val="661825E9"/>
    <w:rsid w:val="66571459"/>
    <w:rsid w:val="67BD1EF1"/>
    <w:rsid w:val="67E16E9C"/>
    <w:rsid w:val="68035535"/>
    <w:rsid w:val="68144569"/>
    <w:rsid w:val="685132CA"/>
    <w:rsid w:val="687D7754"/>
    <w:rsid w:val="68804836"/>
    <w:rsid w:val="69527D5D"/>
    <w:rsid w:val="69DF6769"/>
    <w:rsid w:val="6A0B411C"/>
    <w:rsid w:val="6A2977EC"/>
    <w:rsid w:val="6A391DAA"/>
    <w:rsid w:val="6A927DE9"/>
    <w:rsid w:val="6ABF2F8B"/>
    <w:rsid w:val="6B646C1A"/>
    <w:rsid w:val="6C3504F2"/>
    <w:rsid w:val="6C3D67A6"/>
    <w:rsid w:val="6C5078DB"/>
    <w:rsid w:val="6C772256"/>
    <w:rsid w:val="6C8E532E"/>
    <w:rsid w:val="6DBA3697"/>
    <w:rsid w:val="6DC975B4"/>
    <w:rsid w:val="6E0928C9"/>
    <w:rsid w:val="6E2C2502"/>
    <w:rsid w:val="6E414E14"/>
    <w:rsid w:val="6E4F7B47"/>
    <w:rsid w:val="6FE16ACD"/>
    <w:rsid w:val="6FE56EE3"/>
    <w:rsid w:val="6FE812C0"/>
    <w:rsid w:val="70C87400"/>
    <w:rsid w:val="71080643"/>
    <w:rsid w:val="711B68E8"/>
    <w:rsid w:val="712A4D8A"/>
    <w:rsid w:val="7147574C"/>
    <w:rsid w:val="71645DA2"/>
    <w:rsid w:val="717B0004"/>
    <w:rsid w:val="717D704E"/>
    <w:rsid w:val="71BD09CE"/>
    <w:rsid w:val="722471C7"/>
    <w:rsid w:val="72563A02"/>
    <w:rsid w:val="726A2D7B"/>
    <w:rsid w:val="72CF75BA"/>
    <w:rsid w:val="72FA2203"/>
    <w:rsid w:val="737816C8"/>
    <w:rsid w:val="73817719"/>
    <w:rsid w:val="73CE460C"/>
    <w:rsid w:val="74CD2239"/>
    <w:rsid w:val="74E33A82"/>
    <w:rsid w:val="754F7A5C"/>
    <w:rsid w:val="755C50A1"/>
    <w:rsid w:val="756A3563"/>
    <w:rsid w:val="76383A27"/>
    <w:rsid w:val="76655930"/>
    <w:rsid w:val="76871C4B"/>
    <w:rsid w:val="76C56662"/>
    <w:rsid w:val="76F0310A"/>
    <w:rsid w:val="77A661CC"/>
    <w:rsid w:val="77AC6D73"/>
    <w:rsid w:val="77F531D4"/>
    <w:rsid w:val="78056CDB"/>
    <w:rsid w:val="785D7F3D"/>
    <w:rsid w:val="7884494F"/>
    <w:rsid w:val="78C13D8A"/>
    <w:rsid w:val="78EC09FF"/>
    <w:rsid w:val="78F54505"/>
    <w:rsid w:val="79552A10"/>
    <w:rsid w:val="79A15C55"/>
    <w:rsid w:val="79F95862"/>
    <w:rsid w:val="7A6E0682"/>
    <w:rsid w:val="7AEF11D8"/>
    <w:rsid w:val="7B322F36"/>
    <w:rsid w:val="7BA10581"/>
    <w:rsid w:val="7C2A40C8"/>
    <w:rsid w:val="7C632F9B"/>
    <w:rsid w:val="7DB27697"/>
    <w:rsid w:val="7E351E8C"/>
    <w:rsid w:val="7E7A299F"/>
    <w:rsid w:val="7FD0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0"/>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style>
  <w:style w:type="character" w:styleId="10">
    <w:name w:val="HTML Definition"/>
    <w:basedOn w:val="8"/>
    <w:semiHidden/>
    <w:unhideWhenUsed/>
    <w:qFormat/>
    <w:uiPriority w:val="99"/>
  </w:style>
  <w:style w:type="character" w:styleId="11">
    <w:name w:val="HTML Variable"/>
    <w:basedOn w:val="8"/>
    <w:semiHidden/>
    <w:unhideWhenUsed/>
    <w:qFormat/>
    <w:uiPriority w:val="99"/>
  </w:style>
  <w:style w:type="character" w:styleId="12">
    <w:name w:val="Hyperlink"/>
    <w:basedOn w:val="8"/>
    <w:semiHidden/>
    <w:unhideWhenUsed/>
    <w:qFormat/>
    <w:uiPriority w:val="99"/>
    <w:rPr>
      <w:color w:val="3F88BF"/>
      <w:u w:val="none"/>
    </w:rPr>
  </w:style>
  <w:style w:type="character" w:styleId="13">
    <w:name w:val="HTML Code"/>
    <w:basedOn w:val="8"/>
    <w:semiHidden/>
    <w:unhideWhenUsed/>
    <w:qFormat/>
    <w:uiPriority w:val="99"/>
    <w:rPr>
      <w:rFonts w:hint="eastAsia" w:ascii="微软雅黑" w:hAnsi="微软雅黑" w:eastAsia="微软雅黑" w:cs="微软雅黑"/>
      <w:sz w:val="20"/>
    </w:rPr>
  </w:style>
  <w:style w:type="character" w:styleId="14">
    <w:name w:val="HTML Cite"/>
    <w:basedOn w:val="8"/>
    <w:semiHidden/>
    <w:unhideWhenUsed/>
    <w:qFormat/>
    <w:uiPriority w:val="99"/>
  </w:style>
  <w:style w:type="character" w:styleId="15">
    <w:name w:val="HTML Keyboard"/>
    <w:basedOn w:val="8"/>
    <w:semiHidden/>
    <w:unhideWhenUsed/>
    <w:qFormat/>
    <w:uiPriority w:val="99"/>
    <w:rPr>
      <w:rFonts w:hint="eastAsia" w:ascii="微软雅黑" w:hAnsi="微软雅黑" w:eastAsia="微软雅黑" w:cs="微软雅黑"/>
      <w:sz w:val="20"/>
    </w:rPr>
  </w:style>
  <w:style w:type="character" w:styleId="16">
    <w:name w:val="HTML Sample"/>
    <w:basedOn w:val="8"/>
    <w:semiHidden/>
    <w:unhideWhenUsed/>
    <w:qFormat/>
    <w:uiPriority w:val="99"/>
    <w:rPr>
      <w:rFonts w:hint="eastAsia" w:ascii="微软雅黑" w:hAnsi="微软雅黑" w:eastAsia="微软雅黑" w:cs="微软雅黑"/>
    </w:rPr>
  </w:style>
  <w:style w:type="character" w:customStyle="1" w:styleId="17">
    <w:name w:val="日期 Char"/>
    <w:basedOn w:val="8"/>
    <w:link w:val="3"/>
    <w:semiHidden/>
    <w:qFormat/>
    <w:uiPriority w:val="99"/>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del-btn"/>
    <w:basedOn w:val="8"/>
    <w:qFormat/>
    <w:uiPriority w:val="0"/>
  </w:style>
  <w:style w:type="character" w:customStyle="1" w:styleId="21">
    <w:name w:val="del-btn1"/>
    <w:basedOn w:val="8"/>
    <w:qFormat/>
    <w:uiPriority w:val="0"/>
  </w:style>
  <w:style w:type="character" w:customStyle="1" w:styleId="22">
    <w:name w:val="bg"/>
    <w:basedOn w:val="8"/>
    <w:qFormat/>
    <w:uiPriority w:val="0"/>
    <w:rPr>
      <w:shd w:val="clear" w:fill="000000"/>
    </w:rPr>
  </w:style>
  <w:style w:type="character" w:customStyle="1" w:styleId="23">
    <w:name w:val="bg1"/>
    <w:basedOn w:val="8"/>
    <w:qFormat/>
    <w:uiPriority w:val="0"/>
    <w:rPr>
      <w:shd w:val="clear" w:fill="000000"/>
    </w:rPr>
  </w:style>
  <w:style w:type="character" w:customStyle="1" w:styleId="24">
    <w:name w:val="answer-title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1306</Words>
  <Characters>7449</Characters>
  <Lines>62</Lines>
  <Paragraphs>17</Paragraphs>
  <TotalTime>4</TotalTime>
  <ScaleCrop>false</ScaleCrop>
  <LinksUpToDate>false</LinksUpToDate>
  <CharactersWithSpaces>8738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2016-12-20T08:58:00Z</dcterms:created>
  <dc:creator>微软用户</dc:creator>
  <cp:lastModifiedBy>Administrator</cp:lastModifiedBy>
  <cp:lastPrinted>2020-11-27T07:52:05Z</cp:lastPrinted>
  <dcterms:modified xsi:type="dcterms:W3CDTF">2020-11-27T07:52:12Z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