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BD0F6"/>
    <w:p w14:paraId="3BC9CBD4">
      <w:pPr>
        <w:adjustRightInd w:val="0"/>
        <w:snapToGrid w:val="0"/>
        <w:spacing w:line="620" w:lineRule="exact"/>
        <w:jc w:val="left"/>
        <w:outlineLvl w:val="1"/>
        <w:rPr>
          <w:rFonts w:ascii="宋体" w:hAnsi="宋体" w:eastAsia="黑体" w:cs="黑体"/>
          <w:color w:val="000000"/>
          <w:kern w:val="0"/>
          <w:szCs w:val="32"/>
        </w:rPr>
      </w:pPr>
      <w:r>
        <w:rPr>
          <w:rFonts w:hint="eastAsia" w:ascii="宋体" w:hAnsi="宋体" w:eastAsia="黑体" w:cs="黑体"/>
          <w:color w:val="000000"/>
          <w:kern w:val="0"/>
          <w:szCs w:val="32"/>
        </w:rPr>
        <w:t>附件3</w:t>
      </w:r>
    </w:p>
    <w:p w14:paraId="62D56C91">
      <w:pPr>
        <w:adjustRightInd w:val="0"/>
        <w:snapToGrid w:val="0"/>
        <w:spacing w:line="620" w:lineRule="exact"/>
        <w:jc w:val="left"/>
        <w:outlineLvl w:val="1"/>
        <w:rPr>
          <w:rFonts w:ascii="宋体" w:hAnsi="宋体" w:eastAsia="黑体" w:cs="黑体"/>
          <w:color w:val="000000"/>
          <w:kern w:val="0"/>
          <w:szCs w:val="32"/>
        </w:rPr>
      </w:pPr>
    </w:p>
    <w:p w14:paraId="528E7E81">
      <w:pPr>
        <w:adjustRightInd w:val="0"/>
        <w:snapToGrid w:val="0"/>
        <w:spacing w:after="287" w:afterLines="50"/>
        <w:jc w:val="center"/>
        <w:outlineLvl w:val="1"/>
        <w:rPr>
          <w:rFonts w:hint="eastAsia" w:ascii="宋体" w:hAnsi="宋体" w:eastAsia="方正小标宋_GBK" w:cs="方正小标宋_GBK"/>
          <w:color w:val="000000"/>
          <w:kern w:val="0"/>
          <w:sz w:val="44"/>
          <w:szCs w:val="44"/>
        </w:rPr>
      </w:pPr>
      <w:r>
        <w:rPr>
          <w:rFonts w:hint="eastAsia" w:ascii="宋体" w:hAnsi="宋体" w:eastAsia="方正小标宋_GBK" w:cs="方正小标宋_GBK"/>
          <w:color w:val="000000"/>
          <w:kern w:val="0"/>
          <w:sz w:val="44"/>
          <w:szCs w:val="44"/>
        </w:rPr>
        <w:t>高速公路高风险路段排查整治工作任务清单</w:t>
      </w:r>
    </w:p>
    <w:tbl>
      <w:tblPr>
        <w:tblStyle w:val="3"/>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671"/>
        <w:gridCol w:w="2961"/>
        <w:gridCol w:w="1307"/>
        <w:gridCol w:w="1746"/>
        <w:gridCol w:w="1251"/>
      </w:tblGrid>
      <w:tr w14:paraId="3D36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73" w:type="pct"/>
            <w:noWrap w:val="0"/>
            <w:vAlign w:val="center"/>
          </w:tcPr>
          <w:p w14:paraId="390D5406">
            <w:pPr>
              <w:adjustRightInd w:val="0"/>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2448" w:type="pct"/>
            <w:gridSpan w:val="2"/>
            <w:noWrap w:val="0"/>
            <w:vAlign w:val="center"/>
          </w:tcPr>
          <w:p w14:paraId="1E45C7E3">
            <w:pPr>
              <w:adjustRightInd w:val="0"/>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工作任务</w:t>
            </w:r>
          </w:p>
        </w:tc>
        <w:tc>
          <w:tcPr>
            <w:tcW w:w="691" w:type="pct"/>
            <w:noWrap w:val="0"/>
            <w:vAlign w:val="center"/>
          </w:tcPr>
          <w:p w14:paraId="15B1867F">
            <w:pPr>
              <w:adjustRightInd w:val="0"/>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实施单位</w:t>
            </w:r>
          </w:p>
        </w:tc>
        <w:tc>
          <w:tcPr>
            <w:tcW w:w="923" w:type="pct"/>
            <w:noWrap w:val="0"/>
            <w:vAlign w:val="center"/>
          </w:tcPr>
          <w:p w14:paraId="070194C9">
            <w:pPr>
              <w:adjustRightInd w:val="0"/>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责任单位</w:t>
            </w:r>
          </w:p>
        </w:tc>
        <w:tc>
          <w:tcPr>
            <w:tcW w:w="661" w:type="pct"/>
            <w:noWrap w:val="0"/>
            <w:vAlign w:val="center"/>
          </w:tcPr>
          <w:p w14:paraId="2A380842">
            <w:pPr>
              <w:adjustRightInd w:val="0"/>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完成时限</w:t>
            </w:r>
          </w:p>
        </w:tc>
      </w:tr>
      <w:tr w14:paraId="53D8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14980B5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83" w:type="pct"/>
            <w:noWrap w:val="0"/>
            <w:vAlign w:val="center"/>
          </w:tcPr>
          <w:p w14:paraId="1C8F67BC">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日常巡查每日不少于1次，灾害天气下应加大频率。</w:t>
            </w:r>
          </w:p>
        </w:tc>
        <w:tc>
          <w:tcPr>
            <w:tcW w:w="1565" w:type="pct"/>
            <w:noWrap w:val="0"/>
            <w:vAlign w:val="center"/>
          </w:tcPr>
          <w:p w14:paraId="62850B68">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重点巡查：（1）边坡是否存在冲刷、风化剥落、掉块落石、局部坍塌、鼓起等明显病害；（2）防护工程及支挡结构物是否正常；（3）排水设施是否正常；（4）坡面绿化或防护工程覆盖是否完好。</w:t>
            </w:r>
          </w:p>
        </w:tc>
        <w:tc>
          <w:tcPr>
            <w:tcW w:w="691" w:type="pct"/>
            <w:noWrap w:val="0"/>
            <w:vAlign w:val="center"/>
          </w:tcPr>
          <w:p w14:paraId="528A57B7">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各基层养护部门</w:t>
            </w:r>
          </w:p>
        </w:tc>
        <w:tc>
          <w:tcPr>
            <w:tcW w:w="923" w:type="pct"/>
            <w:noWrap w:val="0"/>
            <w:vAlign w:val="center"/>
          </w:tcPr>
          <w:p w14:paraId="1E530CB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w:t>
            </w:r>
          </w:p>
          <w:p w14:paraId="4DC15058">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661" w:type="pct"/>
            <w:noWrap w:val="0"/>
            <w:vAlign w:val="center"/>
          </w:tcPr>
          <w:p w14:paraId="76F3661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0D1E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1F149445">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883" w:type="pct"/>
            <w:noWrap w:val="0"/>
            <w:vAlign w:val="center"/>
          </w:tcPr>
          <w:p w14:paraId="018A14AB">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经常性检查应抵近检查，频率按风险等级划分，一级、二级边坡每周不少于1次，三级、四级边坡每月不少于1次。</w:t>
            </w:r>
          </w:p>
        </w:tc>
        <w:tc>
          <w:tcPr>
            <w:tcW w:w="1565" w:type="pct"/>
            <w:noWrap w:val="0"/>
            <w:vAlign w:val="center"/>
          </w:tcPr>
          <w:p w14:paraId="2507680B">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检查范围：应下至路基边沟，上至坡顶外侧不少于20米。</w:t>
            </w:r>
          </w:p>
          <w:p w14:paraId="4F86A9F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重点检查：（1）坡面有无裂缝、局部坍塌、鼓起、冲刷、渗水、危岩（石）、坍塌落石；（2）支挡防护工程是否存在裂缝、变形、破损、基础冲刷、框架梁损坏、锚固件松动破损等；（3）截排水沟等排水工程有无堵塞、明显变形、损坏等；（4）检修道及扶手有无破损、锈蚀；（5）其他对边坡安全稳定性不利的情况。</w:t>
            </w:r>
          </w:p>
        </w:tc>
        <w:tc>
          <w:tcPr>
            <w:tcW w:w="691" w:type="pct"/>
            <w:noWrap w:val="0"/>
            <w:vAlign w:val="center"/>
          </w:tcPr>
          <w:p w14:paraId="5DF5AFB9">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各基层养护部门</w:t>
            </w:r>
          </w:p>
        </w:tc>
        <w:tc>
          <w:tcPr>
            <w:tcW w:w="923" w:type="pct"/>
            <w:noWrap w:val="0"/>
            <w:vAlign w:val="center"/>
          </w:tcPr>
          <w:p w14:paraId="1D7F92F9">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w:t>
            </w:r>
          </w:p>
          <w:p w14:paraId="17DF324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661" w:type="pct"/>
            <w:noWrap w:val="0"/>
            <w:vAlign w:val="center"/>
          </w:tcPr>
          <w:p w14:paraId="2CAFEBD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3C25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375DAC6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448" w:type="pct"/>
            <w:gridSpan w:val="2"/>
            <w:noWrap w:val="0"/>
            <w:vAlign w:val="center"/>
          </w:tcPr>
          <w:p w14:paraId="5BC5448F">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督促上跨、下穿、并行高速公路等涉路施工单位，提供完整的施工组织方案、边坡安全评估报告等相关资料。加强涉路施工路段巡查、巡检频次，发现边坡扰动、失稳等现象，及时督促涉路施工单位整改。</w:t>
            </w:r>
          </w:p>
        </w:tc>
        <w:tc>
          <w:tcPr>
            <w:tcW w:w="691" w:type="pct"/>
            <w:noWrap w:val="0"/>
            <w:vAlign w:val="center"/>
          </w:tcPr>
          <w:p w14:paraId="0CEA29DD">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各基层养护部门</w:t>
            </w:r>
          </w:p>
        </w:tc>
        <w:tc>
          <w:tcPr>
            <w:tcW w:w="923" w:type="pct"/>
            <w:noWrap w:val="0"/>
            <w:vAlign w:val="center"/>
          </w:tcPr>
          <w:p w14:paraId="334AC06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w:t>
            </w:r>
          </w:p>
          <w:p w14:paraId="7E04E846">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661" w:type="pct"/>
            <w:noWrap w:val="0"/>
            <w:vAlign w:val="center"/>
          </w:tcPr>
          <w:p w14:paraId="580B84C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2D9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777B4B7D">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2448" w:type="pct"/>
            <w:gridSpan w:val="2"/>
            <w:noWrap w:val="0"/>
            <w:vAlign w:val="center"/>
          </w:tcPr>
          <w:p w14:paraId="3E7285EA">
            <w:pPr>
              <w:adjustRightInd w:val="0"/>
              <w:snapToGrid w:val="0"/>
              <w:jc w:val="left"/>
              <w:rPr>
                <w:rFonts w:hint="eastAsia" w:ascii="宋体" w:hAnsi="宋体" w:eastAsia="宋体" w:cs="宋体"/>
                <w:color w:val="000000"/>
                <w:kern w:val="0"/>
                <w:sz w:val="24"/>
                <w:lang w:val="en" w:eastAsia="zh-CN"/>
              </w:rPr>
            </w:pPr>
            <w:r>
              <w:rPr>
                <w:rFonts w:hint="eastAsia" w:ascii="宋体" w:hAnsi="宋体" w:eastAsia="宋体" w:cs="宋体"/>
                <w:color w:val="000000"/>
                <w:kern w:val="0"/>
                <w:sz w:val="24"/>
              </w:rPr>
              <w:t>完成所辖路段高边坡人工巡查全覆盖，巡查区域包含整个坡面（含排、截水沟），并建立台账，作好记录</w:t>
            </w:r>
            <w:r>
              <w:rPr>
                <w:rFonts w:hint="eastAsia" w:ascii="宋体" w:hAnsi="宋体" w:eastAsia="宋体" w:cs="宋体"/>
                <w:color w:val="000000"/>
                <w:kern w:val="0"/>
                <w:sz w:val="24"/>
                <w:lang w:eastAsia="zh-CN"/>
              </w:rPr>
              <w:t>。</w:t>
            </w:r>
          </w:p>
        </w:tc>
        <w:tc>
          <w:tcPr>
            <w:tcW w:w="691" w:type="pct"/>
            <w:noWrap w:val="0"/>
            <w:vAlign w:val="center"/>
          </w:tcPr>
          <w:p w14:paraId="0CB7EA7B">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各基层养护部门</w:t>
            </w:r>
          </w:p>
        </w:tc>
        <w:tc>
          <w:tcPr>
            <w:tcW w:w="923" w:type="pct"/>
            <w:noWrap w:val="0"/>
            <w:vAlign w:val="center"/>
          </w:tcPr>
          <w:p w14:paraId="4DBB81F1">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各经营管理</w:t>
            </w:r>
          </w:p>
          <w:p w14:paraId="7A78A239">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单位</w:t>
            </w:r>
          </w:p>
        </w:tc>
        <w:tc>
          <w:tcPr>
            <w:tcW w:w="661" w:type="pct"/>
            <w:noWrap w:val="0"/>
            <w:vAlign w:val="center"/>
          </w:tcPr>
          <w:p w14:paraId="6567F025">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528883CC">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7月底</w:t>
            </w:r>
          </w:p>
        </w:tc>
      </w:tr>
      <w:tr w14:paraId="6F38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1DFF3D3C">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2448" w:type="pct"/>
            <w:gridSpan w:val="2"/>
            <w:noWrap w:val="0"/>
            <w:vAlign w:val="center"/>
          </w:tcPr>
          <w:p w14:paraId="384FEF4E">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按照“立查立改、分类整治”原则，集中开展全省高风险路段隐患排查，摸清底数，动态建立清单台账。</w:t>
            </w:r>
          </w:p>
        </w:tc>
        <w:tc>
          <w:tcPr>
            <w:tcW w:w="691" w:type="pct"/>
            <w:noWrap w:val="0"/>
            <w:vAlign w:val="center"/>
          </w:tcPr>
          <w:p w14:paraId="61B4F00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各基层养护部门</w:t>
            </w:r>
          </w:p>
        </w:tc>
        <w:tc>
          <w:tcPr>
            <w:tcW w:w="923" w:type="pct"/>
            <w:noWrap w:val="0"/>
            <w:vAlign w:val="center"/>
          </w:tcPr>
          <w:p w14:paraId="1EFAFBD6">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w:t>
            </w:r>
          </w:p>
          <w:p w14:paraId="18C4542A">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661" w:type="pct"/>
            <w:noWrap w:val="0"/>
            <w:vAlign w:val="center"/>
          </w:tcPr>
          <w:p w14:paraId="11E713D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2024年</w:t>
            </w:r>
          </w:p>
          <w:p w14:paraId="4BBBE6E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7月底</w:t>
            </w:r>
          </w:p>
        </w:tc>
      </w:tr>
      <w:tr w14:paraId="582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restart"/>
            <w:noWrap w:val="0"/>
            <w:vAlign w:val="center"/>
          </w:tcPr>
          <w:p w14:paraId="5422304A">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2448" w:type="pct"/>
            <w:gridSpan w:val="2"/>
            <w:noWrap w:val="0"/>
            <w:vAlign w:val="center"/>
          </w:tcPr>
          <w:p w14:paraId="28446BD5">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高速公路三级、四级风险等级边坡进行应急处治。</w:t>
            </w:r>
          </w:p>
        </w:tc>
        <w:tc>
          <w:tcPr>
            <w:tcW w:w="691" w:type="pct"/>
            <w:noWrap w:val="0"/>
            <w:vAlign w:val="center"/>
          </w:tcPr>
          <w:p w14:paraId="1F7B134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各基层养护部门</w:t>
            </w:r>
          </w:p>
        </w:tc>
        <w:tc>
          <w:tcPr>
            <w:tcW w:w="923" w:type="pct"/>
            <w:noWrap w:val="0"/>
            <w:vAlign w:val="center"/>
          </w:tcPr>
          <w:p w14:paraId="0B46431A">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w:t>
            </w:r>
          </w:p>
          <w:p w14:paraId="7458E97D">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661" w:type="pct"/>
            <w:noWrap w:val="0"/>
            <w:vAlign w:val="center"/>
          </w:tcPr>
          <w:p w14:paraId="5B806C09">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发现后</w:t>
            </w:r>
          </w:p>
          <w:p w14:paraId="59845E8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7天内</w:t>
            </w:r>
          </w:p>
        </w:tc>
      </w:tr>
      <w:tr w14:paraId="0522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noWrap w:val="0"/>
            <w:vAlign w:val="center"/>
          </w:tcPr>
          <w:p w14:paraId="40E6F3CC">
            <w:pPr>
              <w:adjustRightInd w:val="0"/>
              <w:snapToGrid w:val="0"/>
              <w:jc w:val="center"/>
              <w:rPr>
                <w:rFonts w:ascii="宋体" w:hAnsi="宋体" w:eastAsia="宋体" w:cs="宋体"/>
                <w:color w:val="000000"/>
                <w:kern w:val="0"/>
                <w:sz w:val="24"/>
              </w:rPr>
            </w:pPr>
          </w:p>
        </w:tc>
        <w:tc>
          <w:tcPr>
            <w:tcW w:w="2448" w:type="pct"/>
            <w:gridSpan w:val="2"/>
            <w:noWrap w:val="0"/>
            <w:vAlign w:val="center"/>
          </w:tcPr>
          <w:p w14:paraId="3041EDB1">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高速公路一级、二级风险等级边坡应委托具备相应技术能力和资质条件的单位进行专业监测和专项勘察设计，形成专项养护工程方案。</w:t>
            </w:r>
          </w:p>
        </w:tc>
        <w:tc>
          <w:tcPr>
            <w:tcW w:w="691" w:type="pct"/>
            <w:noWrap w:val="0"/>
            <w:vAlign w:val="center"/>
          </w:tcPr>
          <w:p w14:paraId="297950E5">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191A9781">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w:t>
            </w:r>
          </w:p>
        </w:tc>
        <w:tc>
          <w:tcPr>
            <w:tcW w:w="661" w:type="pct"/>
            <w:noWrap w:val="0"/>
            <w:vAlign w:val="center"/>
          </w:tcPr>
          <w:p w14:paraId="4D5533E9">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76A773D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10月底</w:t>
            </w:r>
          </w:p>
        </w:tc>
      </w:tr>
      <w:tr w14:paraId="28F5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704D9CA9">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2448" w:type="pct"/>
            <w:gridSpan w:val="2"/>
            <w:noWrap w:val="0"/>
            <w:vAlign w:val="center"/>
          </w:tcPr>
          <w:p w14:paraId="0C607B9D">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对照省厅绿化景观整治提升工作监测内容和每月通报问题，定人、定责、定整改措施、定完成时限，实现问题月结月清。</w:t>
            </w:r>
          </w:p>
        </w:tc>
        <w:tc>
          <w:tcPr>
            <w:tcW w:w="691" w:type="pct"/>
            <w:noWrap w:val="0"/>
            <w:vAlign w:val="center"/>
          </w:tcPr>
          <w:p w14:paraId="234E2588">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59926307">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省公路中心、执法局</w:t>
            </w:r>
          </w:p>
        </w:tc>
        <w:tc>
          <w:tcPr>
            <w:tcW w:w="661" w:type="pct"/>
            <w:noWrap w:val="0"/>
            <w:vAlign w:val="center"/>
          </w:tcPr>
          <w:p w14:paraId="7BA4EDEC">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每月底前</w:t>
            </w:r>
          </w:p>
        </w:tc>
      </w:tr>
      <w:tr w14:paraId="6422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46033021">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2448" w:type="pct"/>
            <w:gridSpan w:val="2"/>
            <w:noWrap w:val="0"/>
            <w:vAlign w:val="center"/>
          </w:tcPr>
          <w:p w14:paraId="2D454C9A">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至少配备专职路基养护工程师1名，并根据高风险边坡及重点区域的数量适当增设配置。同时，加强对企业管理人员、一线从业人员的教育培训。</w:t>
            </w:r>
          </w:p>
        </w:tc>
        <w:tc>
          <w:tcPr>
            <w:tcW w:w="691" w:type="pct"/>
            <w:noWrap w:val="0"/>
            <w:vAlign w:val="center"/>
          </w:tcPr>
          <w:p w14:paraId="6685F22A">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70F7AD0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w:t>
            </w:r>
          </w:p>
        </w:tc>
        <w:tc>
          <w:tcPr>
            <w:tcW w:w="661" w:type="pct"/>
            <w:noWrap w:val="0"/>
            <w:vAlign w:val="center"/>
          </w:tcPr>
          <w:p w14:paraId="4475BDAB">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2024年</w:t>
            </w:r>
          </w:p>
          <w:p w14:paraId="00F9B43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7月中旬</w:t>
            </w:r>
          </w:p>
        </w:tc>
      </w:tr>
      <w:tr w14:paraId="63DF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45A85769">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2448" w:type="pct"/>
            <w:gridSpan w:val="2"/>
            <w:noWrap w:val="0"/>
            <w:vAlign w:val="center"/>
          </w:tcPr>
          <w:p w14:paraId="2BA9CE98">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参照《高速公路边坡风险评估参考标准》等开展边坡危险性及危害性风险评估工作，建立动态更新机制，形成路段安全风险等级清单和数据库，绘制所辖路段各风险级别的空间分布图。</w:t>
            </w:r>
          </w:p>
        </w:tc>
        <w:tc>
          <w:tcPr>
            <w:tcW w:w="691" w:type="pct"/>
            <w:noWrap w:val="0"/>
            <w:vAlign w:val="center"/>
          </w:tcPr>
          <w:p w14:paraId="36363A77">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1E302F3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w:t>
            </w:r>
          </w:p>
        </w:tc>
        <w:tc>
          <w:tcPr>
            <w:tcW w:w="661" w:type="pct"/>
            <w:noWrap w:val="0"/>
            <w:vAlign w:val="center"/>
          </w:tcPr>
          <w:p w14:paraId="3EB50CA1">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2024年</w:t>
            </w:r>
          </w:p>
          <w:p w14:paraId="3EEA5DA7">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9月底</w:t>
            </w:r>
          </w:p>
        </w:tc>
      </w:tr>
      <w:tr w14:paraId="1838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32F8190B">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2448" w:type="pct"/>
            <w:gridSpan w:val="2"/>
            <w:noWrap w:val="0"/>
            <w:vAlign w:val="center"/>
          </w:tcPr>
          <w:p w14:paraId="3D8E8F8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依据《公路交通突发事件应急预案》等，</w:t>
            </w:r>
          </w:p>
          <w:p w14:paraId="5F1AA00E">
            <w:pPr>
              <w:adjustRightInd w:val="0"/>
              <w:snapToGrid w:val="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按实战原则制（修）订公路地质灾害事件应急预案</w:t>
            </w:r>
            <w:r>
              <w:rPr>
                <w:rFonts w:hint="eastAsia" w:ascii="宋体" w:hAnsi="宋体" w:eastAsia="宋体" w:cs="宋体"/>
                <w:color w:val="000000"/>
                <w:kern w:val="0"/>
                <w:sz w:val="24"/>
                <w:lang w:eastAsia="zh-CN"/>
              </w:rPr>
              <w:t>。</w:t>
            </w:r>
          </w:p>
        </w:tc>
        <w:tc>
          <w:tcPr>
            <w:tcW w:w="691" w:type="pct"/>
            <w:noWrap w:val="0"/>
            <w:vAlign w:val="center"/>
          </w:tcPr>
          <w:p w14:paraId="5A875FA9">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01118CDD">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w:t>
            </w:r>
          </w:p>
        </w:tc>
        <w:tc>
          <w:tcPr>
            <w:tcW w:w="661" w:type="pct"/>
            <w:noWrap w:val="0"/>
            <w:vAlign w:val="center"/>
          </w:tcPr>
          <w:p w14:paraId="2A17C2FA">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2024年</w:t>
            </w:r>
          </w:p>
          <w:p w14:paraId="1B74DC8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9月底</w:t>
            </w:r>
          </w:p>
        </w:tc>
      </w:tr>
      <w:tr w14:paraId="13EA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53834EE5">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11</w:t>
            </w:r>
          </w:p>
        </w:tc>
        <w:tc>
          <w:tcPr>
            <w:tcW w:w="2448" w:type="pct"/>
            <w:gridSpan w:val="2"/>
            <w:noWrap w:val="0"/>
            <w:vAlign w:val="center"/>
          </w:tcPr>
          <w:p w14:paraId="370459F4">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风险等级评估为一级、二级的隐患风险点和重点区域设置安全风险公告栏或警示牌，并在行车方向前150米处按相关规范要求设置提示标牌。</w:t>
            </w:r>
          </w:p>
        </w:tc>
        <w:tc>
          <w:tcPr>
            <w:tcW w:w="691" w:type="pct"/>
            <w:noWrap w:val="0"/>
            <w:vAlign w:val="center"/>
          </w:tcPr>
          <w:p w14:paraId="4A20218C">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2451EA5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w:t>
            </w:r>
          </w:p>
        </w:tc>
        <w:tc>
          <w:tcPr>
            <w:tcW w:w="661" w:type="pct"/>
            <w:noWrap w:val="0"/>
            <w:vAlign w:val="center"/>
          </w:tcPr>
          <w:p w14:paraId="6C173103">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4964597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10月底</w:t>
            </w:r>
          </w:p>
        </w:tc>
      </w:tr>
      <w:tr w14:paraId="3636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628E7017">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12</w:t>
            </w:r>
          </w:p>
        </w:tc>
        <w:tc>
          <w:tcPr>
            <w:tcW w:w="2448" w:type="pct"/>
            <w:gridSpan w:val="2"/>
            <w:noWrap w:val="0"/>
            <w:vAlign w:val="center"/>
          </w:tcPr>
          <w:p w14:paraId="706C1EC7">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按照交通运输部高速公路视频监测优化提升要求，持续推行湖北省视频监测全覆盖工作，实现按点位间距不大于每2公里一对的要求。</w:t>
            </w:r>
          </w:p>
        </w:tc>
        <w:tc>
          <w:tcPr>
            <w:tcW w:w="691" w:type="pct"/>
            <w:noWrap w:val="0"/>
            <w:vAlign w:val="center"/>
          </w:tcPr>
          <w:p w14:paraId="53A3EBA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各经营管理单位、联网中心</w:t>
            </w:r>
          </w:p>
        </w:tc>
        <w:tc>
          <w:tcPr>
            <w:tcW w:w="923" w:type="pct"/>
            <w:noWrap w:val="0"/>
            <w:vAlign w:val="center"/>
          </w:tcPr>
          <w:p w14:paraId="27C92BD7">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省公路中心、厅高速公路处</w:t>
            </w:r>
          </w:p>
        </w:tc>
        <w:tc>
          <w:tcPr>
            <w:tcW w:w="661" w:type="pct"/>
            <w:noWrap w:val="0"/>
            <w:vAlign w:val="center"/>
          </w:tcPr>
          <w:p w14:paraId="3C9978A7">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0E7963E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12月底</w:t>
            </w:r>
          </w:p>
        </w:tc>
      </w:tr>
      <w:tr w14:paraId="7AA3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41C01B57">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13</w:t>
            </w:r>
          </w:p>
        </w:tc>
        <w:tc>
          <w:tcPr>
            <w:tcW w:w="2448" w:type="pct"/>
            <w:gridSpan w:val="2"/>
            <w:noWrap w:val="0"/>
            <w:vAlign w:val="center"/>
          </w:tcPr>
          <w:p w14:paraId="3E127A90">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依靠科技创新，做好公路信息化、智能化等监测预警平台的推广应用，对风险评估为一级、二级边坡安装监测预警系统。</w:t>
            </w:r>
          </w:p>
        </w:tc>
        <w:tc>
          <w:tcPr>
            <w:tcW w:w="691" w:type="pct"/>
            <w:noWrap w:val="0"/>
            <w:vAlign w:val="center"/>
          </w:tcPr>
          <w:p w14:paraId="6641324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各经营管理单位</w:t>
            </w:r>
          </w:p>
        </w:tc>
        <w:tc>
          <w:tcPr>
            <w:tcW w:w="923" w:type="pct"/>
            <w:noWrap w:val="0"/>
            <w:vAlign w:val="center"/>
          </w:tcPr>
          <w:p w14:paraId="403BA886">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省公路中心、厅高速公路处</w:t>
            </w:r>
          </w:p>
        </w:tc>
        <w:tc>
          <w:tcPr>
            <w:tcW w:w="661" w:type="pct"/>
            <w:noWrap w:val="0"/>
            <w:vAlign w:val="center"/>
          </w:tcPr>
          <w:p w14:paraId="1679C26F">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451BC3A5">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12月底</w:t>
            </w:r>
          </w:p>
        </w:tc>
      </w:tr>
      <w:tr w14:paraId="4B3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30C9606C">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14</w:t>
            </w:r>
          </w:p>
        </w:tc>
        <w:tc>
          <w:tcPr>
            <w:tcW w:w="2448" w:type="pct"/>
            <w:gridSpan w:val="2"/>
            <w:noWrap w:val="0"/>
            <w:vAlign w:val="center"/>
          </w:tcPr>
          <w:p w14:paraId="211224E2">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每年主汛期来临前，至少组织1次全省高速公路防汛减灾专业安全培训。</w:t>
            </w:r>
          </w:p>
        </w:tc>
        <w:tc>
          <w:tcPr>
            <w:tcW w:w="691" w:type="pct"/>
            <w:noWrap w:val="0"/>
            <w:vAlign w:val="center"/>
          </w:tcPr>
          <w:p w14:paraId="73B524B9">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w:t>
            </w:r>
          </w:p>
          <w:p w14:paraId="1DB9D79A">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中心</w:t>
            </w:r>
          </w:p>
        </w:tc>
        <w:tc>
          <w:tcPr>
            <w:tcW w:w="923" w:type="pct"/>
            <w:noWrap w:val="0"/>
            <w:vAlign w:val="center"/>
          </w:tcPr>
          <w:p w14:paraId="278B1C7B">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7E1ADFFC">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4421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26026963">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15</w:t>
            </w:r>
          </w:p>
        </w:tc>
        <w:tc>
          <w:tcPr>
            <w:tcW w:w="2448" w:type="pct"/>
            <w:gridSpan w:val="2"/>
            <w:noWrap w:val="0"/>
            <w:vAlign w:val="center"/>
          </w:tcPr>
          <w:p w14:paraId="107B7943">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结合企业自查自评自治等情况和所辖路段的风险等级空间分布图，组织对高速公路经营单位安全风险状况进行综合评估，确定企业整体风险等级，并根据风险变化情况及时调整。</w:t>
            </w:r>
          </w:p>
        </w:tc>
        <w:tc>
          <w:tcPr>
            <w:tcW w:w="691" w:type="pct"/>
            <w:noWrap w:val="0"/>
            <w:vAlign w:val="center"/>
          </w:tcPr>
          <w:p w14:paraId="2BBABA1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w:t>
            </w:r>
          </w:p>
          <w:p w14:paraId="35CDB6E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中心</w:t>
            </w:r>
          </w:p>
        </w:tc>
        <w:tc>
          <w:tcPr>
            <w:tcW w:w="923" w:type="pct"/>
            <w:noWrap w:val="0"/>
            <w:vAlign w:val="center"/>
          </w:tcPr>
          <w:p w14:paraId="48402C2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30FF1970">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6CFA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3031C328">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16</w:t>
            </w:r>
          </w:p>
        </w:tc>
        <w:tc>
          <w:tcPr>
            <w:tcW w:w="2448" w:type="pct"/>
            <w:gridSpan w:val="2"/>
            <w:noWrap w:val="0"/>
            <w:vAlign w:val="center"/>
          </w:tcPr>
          <w:p w14:paraId="042B2F63">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要依据企业自查自评自治等情况和所辖路段的风险等级空间分布、风险类型及数量等，确定企业整体风险等级，推行高速公路经营单位安全风险分级分类监管制度。</w:t>
            </w:r>
          </w:p>
        </w:tc>
        <w:tc>
          <w:tcPr>
            <w:tcW w:w="691" w:type="pct"/>
            <w:noWrap w:val="0"/>
            <w:vAlign w:val="center"/>
          </w:tcPr>
          <w:p w14:paraId="3F418828">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w:t>
            </w:r>
          </w:p>
          <w:p w14:paraId="0442FF4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中心</w:t>
            </w:r>
          </w:p>
        </w:tc>
        <w:tc>
          <w:tcPr>
            <w:tcW w:w="923" w:type="pct"/>
            <w:noWrap w:val="0"/>
            <w:vAlign w:val="center"/>
          </w:tcPr>
          <w:p w14:paraId="2806AA6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6794A286">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2022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05D1B364">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17</w:t>
            </w:r>
          </w:p>
        </w:tc>
        <w:tc>
          <w:tcPr>
            <w:tcW w:w="2448" w:type="pct"/>
            <w:gridSpan w:val="2"/>
            <w:noWrap w:val="0"/>
            <w:vAlign w:val="center"/>
          </w:tcPr>
          <w:p w14:paraId="6E62BF11">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建设和使用智慧化养护管理平台，完成基础数据录入。</w:t>
            </w:r>
          </w:p>
        </w:tc>
        <w:tc>
          <w:tcPr>
            <w:tcW w:w="691" w:type="pct"/>
            <w:noWrap w:val="0"/>
            <w:vAlign w:val="center"/>
          </w:tcPr>
          <w:p w14:paraId="50466E8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省公路中心、各经营管理单位</w:t>
            </w:r>
          </w:p>
        </w:tc>
        <w:tc>
          <w:tcPr>
            <w:tcW w:w="923" w:type="pct"/>
            <w:noWrap w:val="0"/>
            <w:vAlign w:val="center"/>
          </w:tcPr>
          <w:p w14:paraId="685F5E7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2DB4E776">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45CEA720">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10月底</w:t>
            </w:r>
          </w:p>
        </w:tc>
      </w:tr>
      <w:tr w14:paraId="3C72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2834B481">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18</w:t>
            </w:r>
          </w:p>
        </w:tc>
        <w:tc>
          <w:tcPr>
            <w:tcW w:w="2448" w:type="pct"/>
            <w:gridSpan w:val="2"/>
            <w:noWrap w:val="0"/>
            <w:vAlign w:val="center"/>
          </w:tcPr>
          <w:p w14:paraId="45E4CE71">
            <w:pPr>
              <w:adjustRightInd w:val="0"/>
              <w:snapToGrid w:val="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综合高速公路经营管理单位风险排查治理及企业风险等级等数据，汇总建立安全风险数据库，绘制全省高速公路风险等级空间分布图</w:t>
            </w:r>
            <w:r>
              <w:rPr>
                <w:rFonts w:hint="eastAsia" w:ascii="宋体" w:hAnsi="宋体" w:eastAsia="宋体" w:cs="宋体"/>
                <w:color w:val="000000"/>
                <w:kern w:val="0"/>
                <w:sz w:val="24"/>
                <w:lang w:eastAsia="zh-CN"/>
              </w:rPr>
              <w:t>。</w:t>
            </w:r>
          </w:p>
        </w:tc>
        <w:tc>
          <w:tcPr>
            <w:tcW w:w="691" w:type="pct"/>
            <w:noWrap w:val="0"/>
            <w:vAlign w:val="center"/>
          </w:tcPr>
          <w:p w14:paraId="668B6BFD">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w:t>
            </w:r>
          </w:p>
          <w:p w14:paraId="5DDD7712">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中心</w:t>
            </w:r>
          </w:p>
        </w:tc>
        <w:tc>
          <w:tcPr>
            <w:tcW w:w="923" w:type="pct"/>
            <w:noWrap w:val="0"/>
            <w:vAlign w:val="center"/>
          </w:tcPr>
          <w:p w14:paraId="71F89C6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5E8AC766">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2024年</w:t>
            </w:r>
          </w:p>
          <w:p w14:paraId="181A8C4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12月底</w:t>
            </w:r>
          </w:p>
        </w:tc>
      </w:tr>
      <w:tr w14:paraId="3956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053684ED">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19</w:t>
            </w:r>
          </w:p>
        </w:tc>
        <w:tc>
          <w:tcPr>
            <w:tcW w:w="2448" w:type="pct"/>
            <w:gridSpan w:val="2"/>
            <w:noWrap w:val="0"/>
            <w:vAlign w:val="center"/>
          </w:tcPr>
          <w:p w14:paraId="713AC56E">
            <w:pPr>
              <w:adjustRightInd w:val="0"/>
              <w:snapToGrid w:val="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起草制订湖北省在役高速公路边坡养护管理办法、风险评估办法、养护技术指南、技术状况评定指南、自动化安全监测技术指南、高速公路边坡养护检修通道设置技术及管理等规范标准</w:t>
            </w:r>
            <w:r>
              <w:rPr>
                <w:rFonts w:hint="eastAsia" w:ascii="宋体" w:hAnsi="宋体" w:eastAsia="宋体" w:cs="宋体"/>
                <w:color w:val="000000"/>
                <w:kern w:val="0"/>
                <w:sz w:val="24"/>
                <w:lang w:eastAsia="zh-CN"/>
              </w:rPr>
              <w:t>。</w:t>
            </w:r>
          </w:p>
        </w:tc>
        <w:tc>
          <w:tcPr>
            <w:tcW w:w="691" w:type="pct"/>
            <w:noWrap w:val="0"/>
            <w:vAlign w:val="center"/>
          </w:tcPr>
          <w:p w14:paraId="0C71C8CE">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省公路</w:t>
            </w:r>
          </w:p>
          <w:p w14:paraId="3AB014F6">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中心</w:t>
            </w:r>
          </w:p>
        </w:tc>
        <w:tc>
          <w:tcPr>
            <w:tcW w:w="923" w:type="pct"/>
            <w:noWrap w:val="0"/>
            <w:vAlign w:val="center"/>
          </w:tcPr>
          <w:p w14:paraId="0308B7F3">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61D16F14">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2024年12月底前完成初稿</w:t>
            </w:r>
          </w:p>
        </w:tc>
      </w:tr>
      <w:tr w14:paraId="2C1A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6C654BDB">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20</w:t>
            </w:r>
          </w:p>
        </w:tc>
        <w:tc>
          <w:tcPr>
            <w:tcW w:w="2448" w:type="pct"/>
            <w:gridSpan w:val="2"/>
            <w:noWrap w:val="0"/>
            <w:vAlign w:val="center"/>
          </w:tcPr>
          <w:p w14:paraId="0A325B57">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根据企业整体风险等级、路段风险等级及隐患风险类型等，采取针对性执法监管措施，在日常巡查中加强对高风险路段和企业的督促检查力度。</w:t>
            </w:r>
          </w:p>
        </w:tc>
        <w:tc>
          <w:tcPr>
            <w:tcW w:w="691" w:type="pct"/>
            <w:noWrap w:val="0"/>
            <w:vAlign w:val="center"/>
          </w:tcPr>
          <w:p w14:paraId="1B748CE9">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省执法局</w:t>
            </w:r>
          </w:p>
        </w:tc>
        <w:tc>
          <w:tcPr>
            <w:tcW w:w="923" w:type="pct"/>
            <w:noWrap w:val="0"/>
            <w:vAlign w:val="center"/>
          </w:tcPr>
          <w:p w14:paraId="2BC1269F">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1282B3D7">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r w14:paraId="6C6B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noWrap w:val="0"/>
            <w:vAlign w:val="center"/>
          </w:tcPr>
          <w:p w14:paraId="0ADECAA4">
            <w:pPr>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21</w:t>
            </w:r>
          </w:p>
        </w:tc>
        <w:tc>
          <w:tcPr>
            <w:tcW w:w="2448" w:type="pct"/>
            <w:gridSpan w:val="2"/>
            <w:noWrap w:val="0"/>
            <w:vAlign w:val="center"/>
          </w:tcPr>
          <w:p w14:paraId="5AE5AF1A">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加强对高速公路经营单位视频监测预警等设施配置和运行情况监测评估，确保路网整体可视、运行状态可测、应急</w:t>
            </w:r>
            <w:r>
              <w:rPr>
                <w:rFonts w:ascii="宋体" w:hAnsi="宋体" w:eastAsia="宋体" w:cs="宋体"/>
                <w:color w:val="000000"/>
                <w:kern w:val="0"/>
                <w:sz w:val="24"/>
              </w:rPr>
              <w:t>处置</w:t>
            </w:r>
            <w:r>
              <w:rPr>
                <w:rFonts w:hint="eastAsia" w:ascii="宋体" w:hAnsi="宋体" w:eastAsia="宋体" w:cs="宋体"/>
                <w:color w:val="000000"/>
                <w:kern w:val="0"/>
                <w:sz w:val="24"/>
              </w:rPr>
              <w:t>可控。</w:t>
            </w:r>
          </w:p>
        </w:tc>
        <w:tc>
          <w:tcPr>
            <w:tcW w:w="691" w:type="pct"/>
            <w:noWrap w:val="0"/>
            <w:vAlign w:val="center"/>
          </w:tcPr>
          <w:p w14:paraId="6430CF66">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省</w:t>
            </w:r>
            <w:r>
              <w:rPr>
                <w:rFonts w:ascii="宋体" w:hAnsi="宋体" w:eastAsia="宋体" w:cs="宋体"/>
                <w:color w:val="000000"/>
                <w:kern w:val="0"/>
                <w:sz w:val="24"/>
              </w:rPr>
              <w:t>公路中心、</w:t>
            </w:r>
            <w:r>
              <w:rPr>
                <w:rFonts w:hint="eastAsia" w:ascii="宋体" w:hAnsi="宋体" w:eastAsia="宋体" w:cs="宋体"/>
                <w:color w:val="000000"/>
                <w:kern w:val="0"/>
                <w:sz w:val="24"/>
              </w:rPr>
              <w:t>省联网</w:t>
            </w:r>
          </w:p>
          <w:p w14:paraId="2458D545">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中心</w:t>
            </w:r>
          </w:p>
        </w:tc>
        <w:tc>
          <w:tcPr>
            <w:tcW w:w="923" w:type="pct"/>
            <w:noWrap w:val="0"/>
            <w:vAlign w:val="center"/>
          </w:tcPr>
          <w:p w14:paraId="53D96070">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厅高速公路处</w:t>
            </w:r>
          </w:p>
        </w:tc>
        <w:tc>
          <w:tcPr>
            <w:tcW w:w="661" w:type="pct"/>
            <w:noWrap w:val="0"/>
            <w:vAlign w:val="center"/>
          </w:tcPr>
          <w:p w14:paraId="3D402DF5">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持续开展</w:t>
            </w:r>
          </w:p>
        </w:tc>
      </w:tr>
    </w:tbl>
    <w:p w14:paraId="4D1E2F05">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3B1A324C"/>
    <w:rsid w:val="26931E56"/>
    <w:rsid w:val="33DC6B32"/>
    <w:rsid w:val="3B1A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7"/>
      </w:tabs>
      <w:snapToGrid w:val="0"/>
      <w:spacing w:line="240" w:lineRule="auto"/>
      <w:jc w:val="left"/>
    </w:pPr>
    <w:rPr>
      <w:rFonts w:ascii="仿宋_GB2312" w:hAnsi="Times New Roman" w:eastAsia="仿宋_GB2312" w:cs="Times New Roman"/>
      <w:kern w:val="2"/>
      <w:sz w:val="1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2024-07-23T00:30:00Z</dcterms:created>
  <dc:creator> 明天的明天</dc:creator>
  <cp:lastModifiedBy> 明天的明天</cp:lastModifiedBy>
  <dcterms:modified xsi:type="dcterms:W3CDTF">2024-07-23T00:31:23Z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54103C56EC8B4532A8F3D9B0DD18789E_11</vt:lpwstr>
  </property>
</Properties>
</file>